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2C74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NewRoman" w:hAnsi="TimesNewRoman" w:eastAsia="华文中宋" w:cs="TimesNewRoman"/>
          <w:b/>
          <w:sz w:val="36"/>
          <w:szCs w:val="36"/>
          <w:highlight w:val="none"/>
        </w:rPr>
      </w:pPr>
      <w:r>
        <w:rPr>
          <w:rFonts w:hint="eastAsia" w:ascii="TimesNewRoman" w:hAnsi="TimesNewRoman" w:eastAsia="华文中宋" w:cs="TimesNewRoman"/>
          <w:b/>
          <w:sz w:val="36"/>
          <w:szCs w:val="36"/>
          <w:highlight w:val="none"/>
          <w:lang w:eastAsia="zh-CN"/>
        </w:rPr>
        <w:t>马鞍山博望区人民检察院</w:t>
      </w:r>
      <w:r>
        <w:rPr>
          <w:rFonts w:hint="eastAsia" w:ascii="TimesNewRoman" w:hAnsi="TimesNewRoman" w:eastAsia="华文中宋" w:cs="TimesNewRoman"/>
          <w:b/>
          <w:sz w:val="36"/>
          <w:szCs w:val="36"/>
          <w:highlight w:val="none"/>
          <w:lang w:val="en" w:eastAsia="zh-CN"/>
        </w:rPr>
        <w:t>2025</w:t>
      </w:r>
      <w:r>
        <w:rPr>
          <w:rFonts w:hint="default" w:ascii="TimesNewRoman" w:hAnsi="TimesNewRoman" w:eastAsia="华文中宋" w:cs="TimesNewRoman"/>
          <w:b/>
          <w:sz w:val="36"/>
          <w:szCs w:val="36"/>
          <w:highlight w:val="none"/>
        </w:rPr>
        <w:t>年一般公共</w:t>
      </w:r>
    </w:p>
    <w:p w14:paraId="37E0891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default" w:ascii="TimesNewRoman" w:hAnsi="TimesNewRoman" w:eastAsia="华文中宋" w:cs="TimesNewRoman"/>
          <w:b/>
          <w:sz w:val="36"/>
          <w:szCs w:val="36"/>
          <w:highlight w:val="none"/>
        </w:rPr>
      </w:pPr>
      <w:r>
        <w:rPr>
          <w:rFonts w:hint="default" w:ascii="TimesNewRoman" w:hAnsi="TimesNewRoman" w:eastAsia="华文中宋" w:cs="TimesNewRoman"/>
          <w:b/>
          <w:sz w:val="36"/>
          <w:szCs w:val="36"/>
          <w:highlight w:val="none"/>
        </w:rPr>
        <w:t>预算“三公”经费预算</w:t>
      </w:r>
    </w:p>
    <w:p w14:paraId="3D16418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default" w:ascii="TimesNewRoman" w:hAnsi="TimesNewRoman" w:eastAsia="楷体_GB2312" w:cs="TimesNewRoman"/>
          <w:sz w:val="30"/>
          <w:szCs w:val="30"/>
          <w:highlight w:val="none"/>
          <w:u w:val="single"/>
        </w:rPr>
      </w:pPr>
      <w:r>
        <w:rPr>
          <w:rFonts w:hint="default" w:ascii="TimesNewRoman" w:hAnsi="TimesNewRoman" w:eastAsia="楷体_GB2312" w:cs="TimesNewRoman"/>
          <w:szCs w:val="32"/>
          <w:highlight w:val="none"/>
        </w:rPr>
        <w:t>（</w:t>
      </w:r>
      <w:r>
        <w:rPr>
          <w:rFonts w:hint="default" w:ascii="TimesNewRoman" w:hAnsi="TimesNewRoman" w:eastAsia="楷体_GB2312" w:cs="TimesNewRoman"/>
          <w:sz w:val="30"/>
          <w:szCs w:val="30"/>
          <w:highlight w:val="none"/>
          <w:u w:val="single"/>
        </w:rPr>
        <w:t>具体内容与本部门</w:t>
      </w:r>
      <w:r>
        <w:rPr>
          <w:rFonts w:hint="eastAsia" w:ascii="TimesNewRoman" w:hAnsi="TimesNewRoman" w:eastAsia="楷体_GB2312" w:cs="TimesNewRoman"/>
          <w:sz w:val="30"/>
          <w:szCs w:val="30"/>
          <w:highlight w:val="none"/>
          <w:u w:val="single"/>
          <w:lang w:val="en" w:eastAsia="zh-CN"/>
        </w:rPr>
        <w:t>2025</w:t>
      </w:r>
      <w:r>
        <w:rPr>
          <w:rFonts w:hint="default" w:ascii="TimesNewRoman" w:hAnsi="TimesNewRoman" w:eastAsia="楷体_GB2312" w:cs="TimesNewRoman"/>
          <w:sz w:val="30"/>
          <w:szCs w:val="30"/>
          <w:highlight w:val="none"/>
          <w:u w:val="single"/>
        </w:rPr>
        <w:t>年“三公”经费</w:t>
      </w:r>
    </w:p>
    <w:p w14:paraId="1E772BF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default" w:ascii="TimesNewRoman" w:hAnsi="TimesNewRoman" w:eastAsia="楷体_GB2312" w:cs="TimesNewRoman"/>
          <w:szCs w:val="32"/>
          <w:highlight w:val="none"/>
        </w:rPr>
      </w:pPr>
      <w:r>
        <w:rPr>
          <w:rFonts w:hint="default" w:ascii="TimesNewRoman" w:hAnsi="TimesNewRoman" w:eastAsia="楷体_GB2312" w:cs="TimesNewRoman"/>
          <w:sz w:val="30"/>
          <w:szCs w:val="30"/>
          <w:highlight w:val="none"/>
          <w:u w:val="single"/>
        </w:rPr>
        <w:t>预算实际情况相衔接</w:t>
      </w:r>
      <w:r>
        <w:rPr>
          <w:rFonts w:hint="default" w:ascii="TimesNewRoman" w:hAnsi="TimesNewRoman" w:eastAsia="楷体_GB2312" w:cs="TimesNewRoman"/>
          <w:szCs w:val="32"/>
          <w:highlight w:val="none"/>
        </w:rPr>
        <w:t>）</w:t>
      </w:r>
    </w:p>
    <w:p w14:paraId="3E0D543E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outlineLvl w:val="0"/>
        <w:rPr>
          <w:rFonts w:hint="default" w:ascii="TimesNewRoman" w:hAnsi="TimesNewRoman" w:eastAsia="楷体_GB2312" w:cs="TimesNewRoman"/>
          <w:szCs w:val="32"/>
          <w:highlight w:val="none"/>
        </w:rPr>
      </w:pPr>
    </w:p>
    <w:p w14:paraId="300D4316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rPr>
          <w:rFonts w:hint="default" w:ascii="TimesNewRoman" w:hAnsi="TimesNewRoman" w:cs="TimesNewRoman"/>
          <w:sz w:val="6"/>
          <w:szCs w:val="32"/>
          <w:highlight w:val="none"/>
        </w:rPr>
      </w:pPr>
    </w:p>
    <w:p w14:paraId="024BA96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outlineLvl w:val="0"/>
        <w:rPr>
          <w:rFonts w:hint="default" w:ascii="TimesNewRoman" w:hAnsi="TimesNewRoman" w:eastAsia="黑体" w:cs="TimesNewRoman"/>
          <w:szCs w:val="32"/>
          <w:highlight w:val="none"/>
        </w:rPr>
      </w:pPr>
      <w:r>
        <w:rPr>
          <w:rFonts w:hint="default" w:ascii="TimesNewRoman" w:hAnsi="TimesNewRoman" w:eastAsia="黑体" w:cs="TimesNewRoman"/>
          <w:szCs w:val="32"/>
          <w:highlight w:val="none"/>
        </w:rPr>
        <w:t>一、</w:t>
      </w:r>
      <w:r>
        <w:rPr>
          <w:rFonts w:hint="eastAsia" w:ascii="TimesNewRoman" w:hAnsi="TimesNewRoman" w:eastAsia="黑体" w:cs="TimesNewRoman"/>
          <w:szCs w:val="32"/>
          <w:highlight w:val="none"/>
          <w:lang w:val="en" w:eastAsia="zh-CN"/>
        </w:rPr>
        <w:t>2025</w:t>
      </w:r>
      <w:r>
        <w:rPr>
          <w:rFonts w:hint="default" w:ascii="TimesNewRoman" w:hAnsi="TimesNewRoman" w:eastAsia="黑体" w:cs="TimesNewRoman"/>
          <w:szCs w:val="32"/>
          <w:highlight w:val="none"/>
        </w:rPr>
        <w:t>年一般公共预算“三公”经费支出预算表</w:t>
      </w:r>
    </w:p>
    <w:p w14:paraId="498476A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rPr>
          <w:rStyle w:val="5"/>
          <w:rFonts w:hint="default" w:ascii="TimesNewRoman" w:hAnsi="TimesNewRoman" w:cs="TimesNewRoman"/>
          <w:b w:val="0"/>
          <w:bCs w:val="0"/>
          <w:szCs w:val="21"/>
          <w:highlight w:val="none"/>
        </w:rPr>
      </w:pPr>
      <w:r>
        <w:rPr>
          <w:rStyle w:val="5"/>
          <w:rFonts w:hint="default" w:ascii="TimesNewRoman" w:hAnsi="TimesNewRoman" w:cs="TimesNewRoman"/>
          <w:b w:val="0"/>
          <w:bCs w:val="0"/>
          <w:szCs w:val="21"/>
          <w:highlight w:val="none"/>
        </w:rPr>
        <w:t xml:space="preserve">   </w:t>
      </w:r>
    </w:p>
    <w:p w14:paraId="1A00AFD5"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27" w:firstLineChars="196"/>
        <w:jc w:val="right"/>
        <w:rPr>
          <w:rStyle w:val="5"/>
          <w:rFonts w:hint="default" w:ascii="TimesNewRoman" w:hAnsi="TimesNewRoman" w:cs="TimesNewRoman"/>
          <w:b w:val="0"/>
          <w:bCs w:val="0"/>
          <w:sz w:val="28"/>
          <w:szCs w:val="28"/>
          <w:highlight w:val="none"/>
        </w:rPr>
      </w:pPr>
      <w:r>
        <w:rPr>
          <w:rStyle w:val="5"/>
          <w:rFonts w:hint="default" w:ascii="TimesNewRoman" w:hAnsi="TimesNewRoman" w:cs="TimesNewRoman"/>
          <w:b w:val="0"/>
          <w:bCs w:val="0"/>
          <w:szCs w:val="21"/>
          <w:highlight w:val="none"/>
        </w:rPr>
        <w:t xml:space="preserve">      </w:t>
      </w:r>
      <w:r>
        <w:rPr>
          <w:rStyle w:val="5"/>
          <w:rFonts w:hint="default" w:ascii="TimesNewRoman" w:hAnsi="TimesNewRoman" w:cs="TimesNewRoman"/>
          <w:b w:val="0"/>
          <w:bCs w:val="0"/>
          <w:sz w:val="28"/>
          <w:szCs w:val="28"/>
          <w:highlight w:val="none"/>
        </w:rPr>
        <w:t>单位：万元</w:t>
      </w:r>
    </w:p>
    <w:tbl>
      <w:tblPr>
        <w:tblStyle w:val="3"/>
        <w:tblW w:w="8925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850"/>
        <w:gridCol w:w="1080"/>
        <w:gridCol w:w="1730"/>
        <w:gridCol w:w="1810"/>
        <w:gridCol w:w="1106"/>
      </w:tblGrid>
      <w:tr w14:paraId="2BF910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3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E6CC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  <w:t>“三公”经费合计</w:t>
            </w:r>
          </w:p>
        </w:tc>
        <w:tc>
          <w:tcPr>
            <w:tcW w:w="1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C9755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  <w:t>因公出国（境）费</w:t>
            </w:r>
          </w:p>
        </w:tc>
        <w:tc>
          <w:tcPr>
            <w:tcW w:w="46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8977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  <w:t>公务用车购置及运行费</w:t>
            </w:r>
          </w:p>
        </w:tc>
        <w:tc>
          <w:tcPr>
            <w:tcW w:w="11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B5E057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  <w:t>公务</w:t>
            </w:r>
          </w:p>
          <w:p w14:paraId="248728C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  <w:t>接待费</w:t>
            </w:r>
          </w:p>
        </w:tc>
      </w:tr>
      <w:tr w14:paraId="5D723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3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D500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</w:p>
        </w:tc>
        <w:tc>
          <w:tcPr>
            <w:tcW w:w="1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4D18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5330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  <w:t>小计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15894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  <w:t>公务用车购置费</w:t>
            </w:r>
          </w:p>
        </w:tc>
        <w:tc>
          <w:tcPr>
            <w:tcW w:w="1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21B5B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  <w:r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  <w:t>公务用车运行费</w:t>
            </w:r>
          </w:p>
        </w:tc>
        <w:tc>
          <w:tcPr>
            <w:tcW w:w="11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79D09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default" w:ascii="TimesNewRoman" w:hAnsi="TimesNewRoman" w:cs="TimesNewRoman"/>
                <w:b/>
                <w:bCs/>
                <w:kern w:val="0"/>
                <w:sz w:val="20"/>
                <w:highlight w:val="none"/>
              </w:rPr>
            </w:pPr>
          </w:p>
        </w:tc>
      </w:tr>
      <w:tr w14:paraId="60BB1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8DD7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330" w:firstLineChars="150"/>
              <w:jc w:val="left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highlight w:val="none"/>
                <w:lang w:val="en-US" w:eastAsia="zh-CN"/>
              </w:rPr>
              <w:t>10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34310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rPr>
                <w:rFonts w:hint="eastAsia" w:ascii="TimesNewRoman" w:hAnsi="TimesNewRoman" w:eastAsia="仿宋_GB2312" w:cs="TimesNew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8403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highlight w:val="none"/>
                <w:lang w:val="en-US" w:eastAsia="zh-CN"/>
              </w:rPr>
              <w:t>7.5</w:t>
            </w:r>
          </w:p>
        </w:tc>
        <w:tc>
          <w:tcPr>
            <w:tcW w:w="17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1186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110" w:firstLineChars="50"/>
              <w:jc w:val="left"/>
              <w:rPr>
                <w:rFonts w:hint="default" w:ascii="TimesNewRoman" w:hAnsi="TimesNewRoman" w:cs="TimesNewRoman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DB45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firstLine="110" w:firstLineChars="50"/>
              <w:jc w:val="left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highlight w:val="none"/>
                <w:lang w:val="en-US" w:eastAsia="zh-CN"/>
              </w:rPr>
              <w:t>7.5</w:t>
            </w:r>
          </w:p>
        </w:tc>
        <w:tc>
          <w:tcPr>
            <w:tcW w:w="11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203B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default" w:ascii="TimesNewRoman" w:hAnsi="TimesNewRoman" w:eastAsia="仿宋_GB2312" w:cs="TimesNewRoman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NewRoman" w:hAnsi="TimesNewRoman" w:cs="TimesNewRoman"/>
                <w:kern w:val="0"/>
                <w:sz w:val="22"/>
                <w:szCs w:val="22"/>
                <w:highlight w:val="none"/>
                <w:lang w:val="en-US" w:eastAsia="zh-CN"/>
              </w:rPr>
              <w:t>2.5</w:t>
            </w:r>
          </w:p>
        </w:tc>
      </w:tr>
    </w:tbl>
    <w:p w14:paraId="4A705F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outlineLvl w:val="0"/>
        <w:rPr>
          <w:rFonts w:hint="default" w:ascii="TimesNewRoman" w:hAnsi="TimesNewRoman" w:eastAsia="黑体" w:cs="TimesNewRoman"/>
          <w:szCs w:val="32"/>
          <w:highlight w:val="none"/>
        </w:rPr>
      </w:pPr>
    </w:p>
    <w:p w14:paraId="14B78D8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firstLine="640" w:firstLineChars="200"/>
        <w:outlineLvl w:val="0"/>
        <w:rPr>
          <w:rFonts w:hint="default" w:ascii="TimesNewRoman" w:hAnsi="TimesNewRoman" w:eastAsia="黑体" w:cs="TimesNewRoman"/>
          <w:spacing w:val="-6"/>
          <w:szCs w:val="32"/>
          <w:highlight w:val="none"/>
        </w:rPr>
      </w:pPr>
      <w:r>
        <w:rPr>
          <w:rFonts w:hint="default" w:ascii="TimesNewRoman" w:hAnsi="TimesNewRoman" w:eastAsia="黑体" w:cs="TimesNewRoman"/>
          <w:szCs w:val="32"/>
          <w:highlight w:val="none"/>
        </w:rPr>
        <w:t>二、</w:t>
      </w:r>
      <w:r>
        <w:rPr>
          <w:rFonts w:hint="eastAsia" w:ascii="TimesNewRoman" w:hAnsi="TimesNewRoman" w:eastAsia="黑体" w:cs="TimesNewRoman"/>
          <w:spacing w:val="-6"/>
          <w:szCs w:val="32"/>
          <w:highlight w:val="none"/>
          <w:lang w:val="en" w:eastAsia="zh-CN"/>
        </w:rPr>
        <w:t>2025</w:t>
      </w:r>
      <w:r>
        <w:rPr>
          <w:rFonts w:hint="default" w:ascii="TimesNewRoman" w:hAnsi="TimesNewRoman" w:eastAsia="黑体" w:cs="TimesNewRoman"/>
          <w:spacing w:val="-6"/>
          <w:szCs w:val="32"/>
          <w:highlight w:val="none"/>
        </w:rPr>
        <w:t>年一般公共预算“三公”经费支出预算情况说明</w:t>
      </w:r>
    </w:p>
    <w:p w14:paraId="3704365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NewRoman" w:hAnsi="TimesNewRoman" w:cs="TimesNewRoman"/>
          <w:szCs w:val="32"/>
          <w:highlight w:val="none"/>
        </w:rPr>
      </w:pPr>
      <w:r>
        <w:rPr>
          <w:rFonts w:hint="eastAsia" w:ascii="TimesNewRoman" w:hAnsi="TimesNewRoman" w:cs="TimesNewRoman"/>
          <w:szCs w:val="32"/>
          <w:highlight w:val="none"/>
          <w:lang w:eastAsia="zh-CN"/>
        </w:rPr>
        <w:t>马鞍山市马鞍山市博望区人民检察院</w:t>
      </w:r>
      <w:r>
        <w:rPr>
          <w:rFonts w:hint="eastAsia" w:ascii="TimesNewRoman" w:hAnsi="TimesNewRoman" w:cs="TimesNewRoman"/>
          <w:szCs w:val="32"/>
          <w:highlight w:val="none"/>
          <w:lang w:val="en" w:eastAsia="zh-CN"/>
        </w:rPr>
        <w:t>2025</w:t>
      </w:r>
      <w:r>
        <w:rPr>
          <w:rFonts w:hint="default" w:ascii="TimesNewRoman" w:hAnsi="TimesNewRoman" w:cs="TimesNewRoman"/>
          <w:szCs w:val="32"/>
          <w:highlight w:val="none"/>
        </w:rPr>
        <w:t>年一般公共预算“三公”经费支出预算为</w:t>
      </w:r>
      <w:r>
        <w:rPr>
          <w:rFonts w:hint="eastAsia" w:ascii="TimesNewRoman" w:hAnsi="TimesNewRoman" w:cs="TimesNewRoman"/>
          <w:szCs w:val="32"/>
          <w:highlight w:val="none"/>
          <w:lang w:val="en-US" w:eastAsia="zh-CN"/>
        </w:rPr>
        <w:t>10</w:t>
      </w:r>
      <w:r>
        <w:rPr>
          <w:rFonts w:hint="default" w:ascii="TimesNewRoman" w:hAnsi="TimesNewRoman" w:cs="TimesNewRoman"/>
          <w:szCs w:val="32"/>
          <w:highlight w:val="none"/>
        </w:rPr>
        <w:t>万元，比</w:t>
      </w:r>
      <w:r>
        <w:rPr>
          <w:rFonts w:hint="eastAsia" w:ascii="TimesNewRoman" w:hAnsi="TimesNewRoman" w:cs="TimesNewRoman"/>
          <w:szCs w:val="32"/>
          <w:highlight w:val="none"/>
          <w:lang w:eastAsia="zh-CN"/>
        </w:rPr>
        <w:t>2024</w:t>
      </w:r>
      <w:r>
        <w:rPr>
          <w:rFonts w:hint="default" w:ascii="TimesNewRoman" w:hAnsi="TimesNewRoman" w:cs="TimesNewRoman"/>
          <w:szCs w:val="32"/>
          <w:highlight w:val="none"/>
        </w:rPr>
        <w:t>年预算</w:t>
      </w:r>
      <w:r>
        <w:rPr>
          <w:rFonts w:hint="eastAsia" w:ascii="TimesNewRoman" w:hAnsi="TimesNewRoman" w:cs="TimesNewRoman"/>
          <w:szCs w:val="32"/>
          <w:highlight w:val="none"/>
          <w:lang w:eastAsia="zh-CN"/>
        </w:rPr>
        <w:t>持平</w:t>
      </w:r>
      <w:r>
        <w:rPr>
          <w:rFonts w:hint="default" w:ascii="TimesNewRoman" w:hAnsi="TimesNewRoman" w:cs="TimesNewRoman"/>
          <w:szCs w:val="32"/>
          <w:highlight w:val="none"/>
        </w:rPr>
        <w:t>。其中：因公出国（境）费支出预算为</w:t>
      </w:r>
      <w:r>
        <w:rPr>
          <w:rFonts w:hint="eastAsia" w:ascii="TimesNewRoman" w:hAnsi="TimesNewRoman" w:cs="TimesNewRoman"/>
          <w:szCs w:val="32"/>
          <w:highlight w:val="none"/>
          <w:lang w:val="en-US" w:eastAsia="zh-CN"/>
        </w:rPr>
        <w:t>0</w:t>
      </w:r>
      <w:r>
        <w:rPr>
          <w:rFonts w:hint="default" w:ascii="TimesNewRoman" w:hAnsi="TimesNewRoman" w:cs="TimesNewRoman"/>
          <w:szCs w:val="32"/>
          <w:highlight w:val="none"/>
        </w:rPr>
        <w:t>万元，公务接待费支出预算为</w:t>
      </w:r>
      <w:r>
        <w:rPr>
          <w:rFonts w:hint="eastAsia" w:ascii="TimesNewRoman" w:hAnsi="TimesNewRoman" w:cs="TimesNewRoman"/>
          <w:szCs w:val="32"/>
          <w:highlight w:val="none"/>
          <w:lang w:val="en-US" w:eastAsia="zh-CN"/>
        </w:rPr>
        <w:t>2.5</w:t>
      </w:r>
      <w:r>
        <w:rPr>
          <w:rFonts w:hint="default" w:ascii="TimesNewRoman" w:hAnsi="TimesNewRoman" w:cs="TimesNewRoman"/>
          <w:szCs w:val="32"/>
          <w:highlight w:val="none"/>
        </w:rPr>
        <w:t>万元，公务用车购置及运行费支出预算为</w:t>
      </w:r>
      <w:r>
        <w:rPr>
          <w:rFonts w:hint="eastAsia" w:ascii="TimesNewRoman" w:hAnsi="TimesNewRoman" w:cs="TimesNewRoman"/>
          <w:szCs w:val="32"/>
          <w:highlight w:val="none"/>
          <w:lang w:val="en-US" w:eastAsia="zh-CN"/>
        </w:rPr>
        <w:t>7.5</w:t>
      </w:r>
      <w:r>
        <w:rPr>
          <w:rFonts w:hint="default" w:ascii="TimesNewRoman" w:hAnsi="TimesNewRoman" w:cs="TimesNewRoman"/>
          <w:szCs w:val="32"/>
          <w:highlight w:val="none"/>
        </w:rPr>
        <w:t>万元。具体情况如下：</w:t>
      </w:r>
    </w:p>
    <w:p w14:paraId="0E1770E0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default" w:ascii="TimesNewRoman" w:hAnsi="TimesNewRoman" w:eastAsia="仿宋_GB2312" w:cs="TimesNewRoman"/>
          <w:sz w:val="32"/>
          <w:szCs w:val="32"/>
          <w:highlight w:val="none"/>
        </w:rPr>
      </w:pPr>
      <w:r>
        <w:rPr>
          <w:rFonts w:hint="default" w:ascii="TimesNewRoman" w:hAnsi="TimesNewRoman" w:eastAsia="仿宋_GB2312" w:cs="TimesNewRoman"/>
          <w:b/>
          <w:sz w:val="32"/>
          <w:szCs w:val="32"/>
          <w:highlight w:val="none"/>
        </w:rPr>
        <w:t>（一）因公出国（境）费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支出预算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万元, 比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eastAsia="zh-CN"/>
        </w:rPr>
        <w:t>2024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eastAsia="zh-CN"/>
        </w:rPr>
        <w:t>持平</w:t>
      </w:r>
      <w:r>
        <w:rPr>
          <w:rFonts w:ascii="Times New Roman" w:hAnsi="Times New Roman" w:eastAsia="仿宋_GB2312" w:cs="Times New Roman"/>
          <w:kern w:val="2"/>
          <w:sz w:val="32"/>
          <w:szCs w:val="32"/>
          <w:highlight w:val="none"/>
        </w:rPr>
        <w:t>。</w:t>
      </w:r>
    </w:p>
    <w:p w14:paraId="2B4647C2">
      <w:pPr>
        <w:pStyle w:val="2"/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default" w:ascii="TimesNewRoman" w:hAnsi="TimesNewRoman" w:eastAsia="仿宋_GB2312" w:cs="TimesNewRoman"/>
          <w:sz w:val="32"/>
          <w:szCs w:val="32"/>
        </w:rPr>
      </w:pPr>
      <w:r>
        <w:rPr>
          <w:rFonts w:hint="default" w:ascii="TimesNewRoman" w:hAnsi="TimesNewRoman" w:eastAsia="仿宋_GB2312" w:cs="TimesNewRoman"/>
          <w:b/>
          <w:sz w:val="32"/>
          <w:szCs w:val="32"/>
          <w:highlight w:val="none"/>
        </w:rPr>
        <w:t>（二）公务用车购置及运行费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支出预算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val="en-US" w:eastAsia="zh-CN"/>
        </w:rPr>
        <w:t>7.5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万元，比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eastAsia="zh-CN"/>
        </w:rPr>
        <w:t>2024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eastAsia="zh-CN"/>
        </w:rPr>
        <w:t>持平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。其中：公务用车运行费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val="en-US" w:eastAsia="zh-CN"/>
        </w:rPr>
        <w:t>7.5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万元，比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eastAsia="zh-CN"/>
        </w:rPr>
        <w:t>2024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eastAsia="zh-CN"/>
        </w:rPr>
        <w:t>持平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；该项经费主要用于</w:t>
      </w:r>
      <w:r>
        <w:rPr>
          <w:rFonts w:hint="eastAsia" w:ascii="仿宋_GB2312" w:hAnsi="仿宋" w:eastAsia="仿宋_GB2312"/>
          <w:sz w:val="32"/>
          <w:szCs w:val="32"/>
        </w:rPr>
        <w:t>辆燃料费、维修费、过桥过路费、保险费等支出。用于保障日常检察公务、监督检查、政策业务调研等需要</w:t>
      </w:r>
      <w:r>
        <w:rPr>
          <w:rFonts w:ascii="仿宋_GB2312" w:hAnsi="仿宋" w:eastAsia="仿宋_GB2312"/>
          <w:sz w:val="32"/>
          <w:szCs w:val="32"/>
        </w:rPr>
        <w:t>。</w:t>
      </w:r>
      <w:r>
        <w:rPr>
          <w:rFonts w:hint="default" w:ascii="TimesNewRoman" w:hAnsi="TimesNewRoman" w:eastAsia="仿宋_GB2312" w:cs="TimesNewRoman"/>
          <w:sz w:val="32"/>
          <w:szCs w:val="32"/>
        </w:rPr>
        <w:t>公务用车购置费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0</w:t>
      </w:r>
      <w:r>
        <w:rPr>
          <w:rFonts w:hint="default" w:ascii="TimesNewRoman" w:hAnsi="TimesNewRoman" w:eastAsia="仿宋_GB2312" w:cs="TimesNewRoman"/>
          <w:sz w:val="32"/>
          <w:szCs w:val="32"/>
        </w:rPr>
        <w:t>万元，比202</w:t>
      </w:r>
      <w:r>
        <w:rPr>
          <w:rFonts w:hint="eastAsia" w:ascii="TimesNewRoman" w:hAnsi="TimesNewRoman" w:eastAsia="仿宋_GB2312" w:cs="TimesNewRoman"/>
          <w:sz w:val="32"/>
          <w:szCs w:val="32"/>
          <w:lang w:val="en-US" w:eastAsia="zh-CN"/>
        </w:rPr>
        <w:t>3</w:t>
      </w:r>
      <w:r>
        <w:rPr>
          <w:rFonts w:hint="default" w:ascii="TimesNewRoman" w:hAnsi="TimesNewRoman" w:eastAsia="仿宋_GB2312" w:cs="TimesNewRoman"/>
          <w:sz w:val="32"/>
          <w:szCs w:val="32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lang w:eastAsia="zh-CN"/>
        </w:rPr>
        <w:t>持平</w:t>
      </w:r>
      <w:r>
        <w:rPr>
          <w:rFonts w:hint="default" w:ascii="TimesNewRoman" w:hAnsi="TimesNewRoman" w:eastAsia="仿宋_GB2312" w:cs="TimesNewRoman"/>
          <w:sz w:val="32"/>
          <w:szCs w:val="32"/>
        </w:rPr>
        <w:t>。</w:t>
      </w:r>
    </w:p>
    <w:p w14:paraId="7DC99D83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default" w:ascii="TimesNewRoman" w:hAnsi="TimesNewRoman" w:eastAsia="仿宋_GB2312" w:cs="TimesNewRoman"/>
          <w:sz w:val="32"/>
          <w:szCs w:val="32"/>
        </w:rPr>
      </w:pPr>
      <w:r>
        <w:rPr>
          <w:rFonts w:hint="default" w:ascii="TimesNewRoman" w:hAnsi="TimesNewRoman" w:eastAsia="仿宋_GB2312" w:cs="TimesNewRoman"/>
          <w:b/>
          <w:sz w:val="32"/>
          <w:szCs w:val="32"/>
          <w:highlight w:val="none"/>
        </w:rPr>
        <w:t>（三）公务接待费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支出预算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val="en-US" w:eastAsia="zh-CN"/>
        </w:rPr>
        <w:t>2.5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万元，比</w:t>
      </w:r>
      <w:r>
        <w:rPr>
          <w:rFonts w:hint="eastAsia" w:ascii="TimesNewRoman" w:hAnsi="TimesNewRoman" w:eastAsia="仿宋_GB2312" w:cs="TimesNewRoman"/>
          <w:sz w:val="32"/>
          <w:szCs w:val="32"/>
          <w:highlight w:val="none"/>
          <w:lang w:eastAsia="zh-CN"/>
        </w:rPr>
        <w:t>2024</w:t>
      </w:r>
      <w:r>
        <w:rPr>
          <w:rFonts w:hint="default" w:ascii="TimesNewRoman" w:hAnsi="TimesNewRoman" w:eastAsia="仿宋_GB2312" w:cs="TimesNewRoman"/>
          <w:sz w:val="32"/>
          <w:szCs w:val="32"/>
          <w:highlight w:val="none"/>
        </w:rPr>
        <w:t>年预算</w:t>
      </w:r>
      <w:r>
        <w:rPr>
          <w:rFonts w:hint="eastAsia" w:ascii="TimesNewRoman" w:hAnsi="TimesNewRoman" w:eastAsia="仿宋_GB2312" w:cs="TimesNewRoman"/>
          <w:sz w:val="32"/>
          <w:szCs w:val="32"/>
          <w:lang w:eastAsia="zh-CN"/>
        </w:rPr>
        <w:t>持平</w:t>
      </w:r>
      <w:r>
        <w:rPr>
          <w:rFonts w:hint="default" w:ascii="TimesNewRoman" w:hAnsi="TimesNewRoman" w:eastAsia="仿宋_GB2312" w:cs="TimesNewRoman"/>
          <w:sz w:val="32"/>
          <w:szCs w:val="32"/>
        </w:rPr>
        <w:t>。该项经费主要用于</w:t>
      </w:r>
      <w:r>
        <w:rPr>
          <w:rFonts w:hint="eastAsia" w:ascii="仿宋_GB2312" w:hAnsi="仿宋" w:eastAsia="仿宋_GB2312" w:cs="宋体"/>
          <w:sz w:val="32"/>
          <w:szCs w:val="32"/>
        </w:rPr>
        <w:t>接待上级、专家、区外单位业务指导和工作调研、合作交流等公务往来支出</w:t>
      </w:r>
      <w:r>
        <w:rPr>
          <w:rFonts w:hint="default" w:ascii="TimesNewRoman" w:hAnsi="TimesNewRoman" w:eastAsia="仿宋_GB2312" w:cs="TimesNewRoman"/>
          <w:sz w:val="32"/>
          <w:szCs w:val="32"/>
        </w:rPr>
        <w:t>。</w:t>
      </w:r>
      <w:r>
        <w:rPr>
          <w:rFonts w:ascii="Times New Roman" w:hAnsi="Times New Roman" w:eastAsia="仿宋_GB2312" w:cs="Times New Roman"/>
          <w:sz w:val="32"/>
          <w:szCs w:val="32"/>
        </w:rPr>
        <w:t>经费使用严格执行《党政机关厉行节约反对浪费条例》（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中发</w:t>
      </w:r>
      <w:r>
        <w:rPr>
          <w:rFonts w:ascii="Times New Roman" w:hAnsi="Times New Roman" w:eastAsia="仿宋_GB2312" w:cs="Times New Roman"/>
          <w:sz w:val="32"/>
          <w:szCs w:val="32"/>
        </w:rPr>
        <w:t>〔201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3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13</w:t>
      </w:r>
      <w:r>
        <w:rPr>
          <w:rFonts w:ascii="Times New Roman" w:hAnsi="Times New Roman" w:eastAsia="仿宋_GB2312" w:cs="Times New Roman"/>
          <w:sz w:val="32"/>
          <w:szCs w:val="32"/>
        </w:rPr>
        <w:t>号）、《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马鞍山市市</w:t>
      </w:r>
      <w:r>
        <w:rPr>
          <w:rFonts w:ascii="Times New Roman" w:hAnsi="Times New Roman" w:eastAsia="仿宋_GB2312" w:cs="Times New Roman"/>
          <w:sz w:val="32"/>
          <w:szCs w:val="32"/>
        </w:rPr>
        <w:t>直机关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国内</w:t>
      </w:r>
      <w:r>
        <w:rPr>
          <w:rFonts w:ascii="Times New Roman" w:hAnsi="Times New Roman" w:eastAsia="仿宋_GB2312" w:cs="Times New Roman"/>
          <w:sz w:val="32"/>
          <w:szCs w:val="32"/>
        </w:rPr>
        <w:t>公务接待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费</w:t>
      </w:r>
      <w:r>
        <w:rPr>
          <w:rFonts w:ascii="Times New Roman" w:hAnsi="Times New Roman" w:eastAsia="仿宋_GB2312" w:cs="Times New Roman"/>
          <w:sz w:val="32"/>
          <w:szCs w:val="32"/>
        </w:rPr>
        <w:t>管理暂行办法》（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马</w:t>
      </w:r>
      <w:r>
        <w:rPr>
          <w:rFonts w:ascii="Times New Roman" w:hAnsi="Times New Roman" w:eastAsia="仿宋_GB2312" w:cs="Times New Roman"/>
          <w:sz w:val="32"/>
          <w:szCs w:val="32"/>
        </w:rPr>
        <w:t>财〔201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5</w:t>
      </w:r>
      <w:r>
        <w:rPr>
          <w:rFonts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477</w:t>
      </w:r>
      <w:r>
        <w:rPr>
          <w:rFonts w:ascii="Times New Roman" w:hAnsi="Times New Roman" w:eastAsia="仿宋_GB2312" w:cs="Times New Roman"/>
          <w:sz w:val="32"/>
          <w:szCs w:val="32"/>
        </w:rPr>
        <w:t>号）等相关规定。</w:t>
      </w:r>
    </w:p>
    <w:p w14:paraId="45B88143"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default" w:ascii="TimesNewRoman" w:hAnsi="TimesNewRoman" w:eastAsia="仿宋_GB2312" w:cs="TimesNewRoman"/>
          <w:sz w:val="32"/>
          <w:szCs w:val="32"/>
          <w:highlight w:val="none"/>
        </w:rPr>
      </w:pPr>
    </w:p>
    <w:p w14:paraId="2B9EF0F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NewRoman">
    <w:altName w:val="Traditional Arabic"/>
    <w:panose1 w:val="02020603050405020304"/>
    <w:charset w:val="00"/>
    <w:family w:val="auto"/>
    <w:pitch w:val="default"/>
    <w:sig w:usb0="00000000" w:usb1="00000000" w:usb2="00000029" w:usb3="00000000" w:csb0="6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3132FC"/>
    <w:multiLevelType w:val="singleLevel"/>
    <w:tmpl w:val="693132F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C1584C"/>
    <w:rsid w:val="1DC1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rFonts w:eastAsia="宋体"/>
      <w:sz w:val="24"/>
      <w:szCs w:val="24"/>
    </w:rPr>
  </w:style>
  <w:style w:type="character" w:styleId="5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2025-01-26T03:17:00Z</dcterms:created>
  <dc:creator>SY061314</dc:creator>
  <cp:lastModifiedBy>SY061314</cp:lastModifiedBy>
  <dcterms:modified xsi:type="dcterms:W3CDTF">2025-01-26T03:22:49Z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0FC5AA3F9AF54848BA3D32DA13AFD4FE_11</vt:lpwstr>
  </property>
  <property fmtid="{D5CDD505-2E9C-101B-9397-08002B2CF9AE}" pid="4" name="KSOTemplateDocerSaveRecord">
    <vt:lpwstr>eyJoZGlkIjoiODE1MThlNGYyNTFkNWZkMjM5NTIxNDNkZTNjN2M1NjYiLCJ1c2VySWQiOiI1MDk4ODcyNjgifQ==</vt:lpwstr>
  </property>
</Properties>
</file>