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7" w:line="222" w:lineRule="auto"/>
        <w:ind w:left="5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附</w:t>
      </w:r>
      <w:r>
        <w:rPr>
          <w:rFonts w:ascii="仿宋" w:hAnsi="仿宋" w:eastAsia="仿宋" w:cs="仿宋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件</w:t>
      </w:r>
    </w:p>
    <w:p>
      <w:pPr>
        <w:spacing w:before="125" w:line="270" w:lineRule="auto"/>
        <w:ind w:left="3093" w:right="1556" w:hanging="1378"/>
        <w:rPr>
          <w:rFonts w:ascii="仿宋" w:hAnsi="仿宋" w:eastAsia="仿宋" w:cs="仿宋"/>
          <w:sz w:val="43"/>
          <w:szCs w:val="43"/>
        </w:rPr>
      </w:pPr>
      <w:r>
        <w:rPr>
          <w:rFonts w:ascii="Times New Roman" w:hAnsi="Times New Roman" w:eastAsia="Times New Roman" w:cs="Times New Roman"/>
          <w:b/>
          <w:bCs/>
          <w:spacing w:val="16"/>
          <w:sz w:val="43"/>
          <w:szCs w:val="43"/>
        </w:rPr>
        <w:t>2</w:t>
      </w:r>
      <w:r>
        <w:rPr>
          <w:rFonts w:ascii="Times New Roman" w:hAnsi="Times New Roman" w:eastAsia="Times New Roman" w:cs="Times New Roman"/>
          <w:b/>
          <w:bCs/>
          <w:spacing w:val="10"/>
          <w:sz w:val="43"/>
          <w:szCs w:val="43"/>
        </w:rPr>
        <w:t>0</w:t>
      </w:r>
      <w:r>
        <w:rPr>
          <w:rFonts w:ascii="Times New Roman" w:hAnsi="Times New Roman" w:eastAsia="Times New Roman" w:cs="Times New Roman"/>
          <w:b/>
          <w:bCs/>
          <w:spacing w:val="8"/>
          <w:sz w:val="43"/>
          <w:szCs w:val="43"/>
        </w:rPr>
        <w:t>22</w:t>
      </w:r>
      <w:r>
        <w:rPr>
          <w:rFonts w:ascii="Times New Roman" w:hAnsi="Times New Roman" w:eastAsia="Times New Roman" w:cs="Times New Roman"/>
          <w:spacing w:val="8"/>
          <w:sz w:val="43"/>
          <w:szCs w:val="43"/>
        </w:rPr>
        <w:t xml:space="preserve"> </w:t>
      </w:r>
      <w:r>
        <w:rPr>
          <w:rFonts w:ascii="仿宋" w:hAnsi="仿宋" w:eastAsia="仿宋" w:cs="仿宋"/>
          <w:spacing w:val="8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年度项目支出绩效自评表</w:t>
      </w:r>
      <w:r>
        <w:rPr>
          <w:rFonts w:ascii="仿宋" w:hAnsi="仿宋" w:eastAsia="仿宋" w:cs="仿宋"/>
          <w:sz w:val="43"/>
          <w:szCs w:val="43"/>
        </w:rPr>
        <w:t xml:space="preserve"> </w:t>
      </w:r>
      <w:r>
        <w:rPr>
          <w:rFonts w:ascii="仿宋" w:hAnsi="仿宋" w:eastAsia="仿宋" w:cs="仿宋"/>
          <w:spacing w:val="12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及</w:t>
      </w:r>
      <w:r>
        <w:rPr>
          <w:rFonts w:ascii="仿宋" w:hAnsi="仿宋" w:eastAsia="仿宋" w:cs="仿宋"/>
          <w:spacing w:val="9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部门评价报告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113" w:line="464" w:lineRule="exact"/>
        <w:ind w:left="955"/>
        <w:rPr>
          <w:rFonts w:hint="eastAsia" w:ascii="黑体" w:hAnsi="黑体" w:eastAsia="黑体" w:cs="黑体"/>
          <w:sz w:val="35"/>
          <w:szCs w:val="35"/>
          <w:lang w:eastAsia="zh-CN"/>
        </w:rPr>
      </w:pPr>
      <w:r>
        <w:rPr>
          <w:rFonts w:ascii="黑体" w:hAnsi="黑体" w:eastAsia="黑体" w:cs="黑体"/>
          <w:spacing w:val="9"/>
          <w:position w:val="1"/>
          <w:sz w:val="35"/>
          <w:szCs w:val="35"/>
        </w:rPr>
        <w:t xml:space="preserve">第一部分 </w:t>
      </w:r>
      <w:r>
        <w:rPr>
          <w:rFonts w:hint="eastAsia" w:ascii="黑体" w:hAnsi="黑体" w:eastAsia="黑体" w:cs="黑体"/>
          <w:spacing w:val="9"/>
          <w:position w:val="1"/>
          <w:sz w:val="35"/>
          <w:szCs w:val="35"/>
          <w:lang w:eastAsia="zh-CN"/>
        </w:rPr>
        <w:t>博望区</w:t>
      </w:r>
      <w:r>
        <w:rPr>
          <w:rFonts w:hint="eastAsia" w:ascii="黑体" w:hAnsi="黑体" w:eastAsia="黑体" w:cs="黑体"/>
          <w:spacing w:val="9"/>
          <w:position w:val="1"/>
          <w:sz w:val="35"/>
          <w:szCs w:val="35"/>
          <w:lang w:val="en-US" w:eastAsia="zh-CN"/>
        </w:rPr>
        <w:t>人民检察院</w:t>
      </w:r>
      <w:r>
        <w:rPr>
          <w:rFonts w:ascii="黑体" w:hAnsi="黑体" w:eastAsia="黑体" w:cs="黑体"/>
          <w:spacing w:val="9"/>
          <w:position w:val="1"/>
          <w:sz w:val="35"/>
          <w:szCs w:val="35"/>
        </w:rPr>
        <w:t>绩效自评项目清</w:t>
      </w:r>
      <w:r>
        <w:rPr>
          <w:rFonts w:ascii="黑体" w:hAnsi="黑体" w:eastAsia="黑体" w:cs="黑体"/>
          <w:spacing w:val="6"/>
          <w:position w:val="1"/>
          <w:sz w:val="35"/>
          <w:szCs w:val="35"/>
        </w:rPr>
        <w:t>单</w:t>
      </w:r>
    </w:p>
    <w:p/>
    <w:p/>
    <w:p>
      <w:pPr>
        <w:spacing w:line="32" w:lineRule="exact"/>
      </w:pPr>
    </w:p>
    <w:tbl>
      <w:tblPr>
        <w:tblStyle w:val="8"/>
        <w:tblW w:w="91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7516"/>
        <w:gridCol w:w="81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769" w:type="dxa"/>
            <w:vAlign w:val="top"/>
          </w:tcPr>
          <w:p>
            <w:pPr>
              <w:spacing w:before="191" w:line="208" w:lineRule="auto"/>
              <w:ind w:left="147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序号</w:t>
            </w:r>
          </w:p>
        </w:tc>
        <w:tc>
          <w:tcPr>
            <w:tcW w:w="7516" w:type="dxa"/>
            <w:vAlign w:val="top"/>
          </w:tcPr>
          <w:p>
            <w:pPr>
              <w:spacing w:before="193" w:line="206" w:lineRule="auto"/>
              <w:ind w:left="328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>项目名</w:t>
            </w: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称</w:t>
            </w:r>
          </w:p>
        </w:tc>
        <w:tc>
          <w:tcPr>
            <w:tcW w:w="817" w:type="dxa"/>
            <w:vAlign w:val="top"/>
          </w:tcPr>
          <w:p>
            <w:pPr>
              <w:spacing w:before="192" w:line="209" w:lineRule="auto"/>
              <w:ind w:left="17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备</w:t>
            </w: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769" w:type="dxa"/>
            <w:vAlign w:val="top"/>
          </w:tcPr>
          <w:p>
            <w:pPr>
              <w:spacing w:before="186" w:line="195" w:lineRule="auto"/>
              <w:ind w:left="35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7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3"/>
                <w:szCs w:val="23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工会经费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项目绩效目标自评表</w:t>
            </w: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769" w:type="dxa"/>
            <w:vAlign w:val="top"/>
          </w:tcPr>
          <w:p>
            <w:pPr>
              <w:spacing w:before="124" w:line="195" w:lineRule="auto"/>
              <w:ind w:left="32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7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2021年中央政法纪检监察转移支付资金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项目绩效目标自评表</w:t>
            </w: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69" w:type="dxa"/>
            <w:vAlign w:val="top"/>
          </w:tcPr>
          <w:p>
            <w:pPr>
              <w:spacing w:before="148" w:line="194" w:lineRule="auto"/>
              <w:ind w:left="332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7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补发退休人员补贴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项目绩效目标自评表</w:t>
            </w: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769" w:type="dxa"/>
            <w:vAlign w:val="top"/>
          </w:tcPr>
          <w:p>
            <w:pPr>
              <w:spacing w:before="170" w:line="195" w:lineRule="auto"/>
              <w:ind w:left="32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3"/>
                <w:szCs w:val="23"/>
              </w:rPr>
              <w:t>4</w:t>
            </w:r>
          </w:p>
        </w:tc>
        <w:tc>
          <w:tcPr>
            <w:tcW w:w="7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博望区检察院两房基建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项目绩效目标自评表</w:t>
            </w: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769" w:type="dxa"/>
            <w:vAlign w:val="top"/>
          </w:tcPr>
          <w:p>
            <w:pPr>
              <w:spacing w:before="168" w:line="191" w:lineRule="auto"/>
              <w:ind w:left="33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7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聘用司机外包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项目绩效目标自评表</w:t>
            </w: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69" w:type="dxa"/>
            <w:vAlign w:val="top"/>
          </w:tcPr>
          <w:p>
            <w:pPr>
              <w:spacing w:before="148" w:line="194" w:lineRule="auto"/>
              <w:ind w:left="332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75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769" w:type="dxa"/>
            <w:vAlign w:val="top"/>
          </w:tcPr>
          <w:p>
            <w:pPr>
              <w:spacing w:before="134" w:line="191" w:lineRule="auto"/>
              <w:ind w:left="33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7</w:t>
            </w:r>
          </w:p>
        </w:tc>
        <w:tc>
          <w:tcPr>
            <w:tcW w:w="7516" w:type="dxa"/>
            <w:vAlign w:val="top"/>
          </w:tcPr>
          <w:p>
            <w:pPr>
              <w:spacing w:before="89" w:line="225" w:lineRule="auto"/>
              <w:ind w:left="122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769" w:type="dxa"/>
            <w:vAlign w:val="top"/>
          </w:tcPr>
          <w:p>
            <w:pPr>
              <w:spacing w:before="159" w:line="194" w:lineRule="auto"/>
              <w:ind w:left="33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7516" w:type="dxa"/>
            <w:vAlign w:val="top"/>
          </w:tcPr>
          <w:p>
            <w:pPr>
              <w:spacing w:before="120" w:line="225" w:lineRule="auto"/>
              <w:ind w:left="107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769" w:type="dxa"/>
            <w:vAlign w:val="top"/>
          </w:tcPr>
          <w:p>
            <w:pPr>
              <w:spacing w:before="141" w:line="195" w:lineRule="auto"/>
              <w:ind w:left="33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  <w:tc>
          <w:tcPr>
            <w:tcW w:w="7516" w:type="dxa"/>
            <w:vAlign w:val="top"/>
          </w:tcPr>
          <w:p>
            <w:pPr>
              <w:spacing w:before="103" w:line="223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769" w:type="dxa"/>
            <w:vAlign w:val="top"/>
          </w:tcPr>
          <w:p>
            <w:pPr>
              <w:spacing w:before="135" w:line="194" w:lineRule="auto"/>
              <w:ind w:left="29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0"/>
                <w:sz w:val="23"/>
                <w:szCs w:val="23"/>
              </w:rPr>
              <w:t>0</w:t>
            </w:r>
          </w:p>
        </w:tc>
        <w:tc>
          <w:tcPr>
            <w:tcW w:w="7516" w:type="dxa"/>
            <w:vAlign w:val="top"/>
          </w:tcPr>
          <w:p>
            <w:pPr>
              <w:spacing w:before="97" w:line="224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769" w:type="dxa"/>
            <w:vAlign w:val="top"/>
          </w:tcPr>
          <w:p>
            <w:pPr>
              <w:spacing w:before="105" w:line="195" w:lineRule="auto"/>
              <w:ind w:left="29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1"/>
                <w:sz w:val="23"/>
                <w:szCs w:val="23"/>
              </w:rPr>
              <w:t>1</w:t>
            </w:r>
          </w:p>
        </w:tc>
        <w:tc>
          <w:tcPr>
            <w:tcW w:w="7516" w:type="dxa"/>
            <w:vAlign w:val="top"/>
          </w:tcPr>
          <w:p>
            <w:pPr>
              <w:spacing w:before="68" w:line="224" w:lineRule="auto"/>
              <w:ind w:left="104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769" w:type="dxa"/>
            <w:vAlign w:val="top"/>
          </w:tcPr>
          <w:p>
            <w:pPr>
              <w:spacing w:before="238" w:line="195" w:lineRule="auto"/>
              <w:ind w:left="29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0"/>
                <w:sz w:val="23"/>
                <w:szCs w:val="23"/>
              </w:rPr>
              <w:t>2</w:t>
            </w:r>
          </w:p>
        </w:tc>
        <w:tc>
          <w:tcPr>
            <w:tcW w:w="7516" w:type="dxa"/>
            <w:vAlign w:val="top"/>
          </w:tcPr>
          <w:p>
            <w:pPr>
              <w:spacing w:before="42" w:line="238" w:lineRule="auto"/>
              <w:ind w:left="115" w:right="208" w:firstLine="2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769" w:type="dxa"/>
            <w:vAlign w:val="top"/>
          </w:tcPr>
          <w:p>
            <w:pPr>
              <w:spacing w:before="178" w:line="194" w:lineRule="auto"/>
              <w:ind w:left="29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0"/>
                <w:sz w:val="23"/>
                <w:szCs w:val="23"/>
              </w:rPr>
              <w:t>3</w:t>
            </w:r>
          </w:p>
        </w:tc>
        <w:tc>
          <w:tcPr>
            <w:tcW w:w="7516" w:type="dxa"/>
            <w:vAlign w:val="top"/>
          </w:tcPr>
          <w:p>
            <w:pPr>
              <w:spacing w:before="137" w:line="224" w:lineRule="auto"/>
              <w:ind w:left="112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769" w:type="dxa"/>
            <w:vAlign w:val="top"/>
          </w:tcPr>
          <w:p>
            <w:pPr>
              <w:spacing w:before="177" w:line="194" w:lineRule="auto"/>
              <w:ind w:left="29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0"/>
                <w:sz w:val="23"/>
                <w:szCs w:val="23"/>
              </w:rPr>
              <w:t>5</w:t>
            </w:r>
          </w:p>
        </w:tc>
        <w:tc>
          <w:tcPr>
            <w:tcW w:w="7516" w:type="dxa"/>
            <w:vAlign w:val="top"/>
          </w:tcPr>
          <w:p>
            <w:pPr>
              <w:spacing w:before="139" w:line="225" w:lineRule="auto"/>
              <w:ind w:left="111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69" w:type="dxa"/>
            <w:vAlign w:val="top"/>
          </w:tcPr>
          <w:p>
            <w:pPr>
              <w:spacing w:before="195" w:line="194" w:lineRule="auto"/>
              <w:ind w:left="29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0"/>
                <w:sz w:val="23"/>
                <w:szCs w:val="23"/>
              </w:rPr>
              <w:t>6</w:t>
            </w:r>
          </w:p>
        </w:tc>
        <w:tc>
          <w:tcPr>
            <w:tcW w:w="7516" w:type="dxa"/>
            <w:vAlign w:val="top"/>
          </w:tcPr>
          <w:p>
            <w:pPr>
              <w:spacing w:before="154" w:line="223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769" w:type="dxa"/>
            <w:vAlign w:val="top"/>
          </w:tcPr>
          <w:p>
            <w:pPr>
              <w:spacing w:before="194" w:line="195" w:lineRule="auto"/>
              <w:ind w:left="29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0"/>
                <w:sz w:val="23"/>
                <w:szCs w:val="23"/>
              </w:rPr>
              <w:t>7</w:t>
            </w:r>
          </w:p>
        </w:tc>
        <w:tc>
          <w:tcPr>
            <w:tcW w:w="7516" w:type="dxa"/>
            <w:vAlign w:val="top"/>
          </w:tcPr>
          <w:p>
            <w:pPr>
              <w:spacing w:before="156" w:line="223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8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r:id="rId5" w:type="default"/>
          <w:pgSz w:w="11906" w:h="16839"/>
          <w:pgMar w:top="1431" w:right="1472" w:bottom="1132" w:left="1326" w:header="0" w:footer="891" w:gutter="0"/>
          <w:cols w:space="720" w:num="1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numPr>
          <w:ilvl w:val="0"/>
          <w:numId w:val="0"/>
        </w:numPr>
        <w:spacing w:before="101" w:line="407" w:lineRule="exact"/>
        <w:ind w:firstLine="652" w:firstLineChars="200"/>
        <w:rPr>
          <w:rFonts w:hint="eastAsia" w:ascii="仿宋" w:hAnsi="仿宋" w:eastAsia="仿宋" w:cs="仿宋"/>
          <w:spacing w:val="8"/>
          <w:position w:val="2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spacing w:val="8"/>
          <w:position w:val="2"/>
          <w:sz w:val="31"/>
          <w:szCs w:val="31"/>
          <w:lang w:val="en-US" w:eastAsia="zh-CN"/>
        </w:rPr>
        <w:t>1.工会经费</w:t>
      </w:r>
      <w:r>
        <w:rPr>
          <w:rFonts w:ascii="仿宋" w:hAnsi="仿宋" w:eastAsia="仿宋" w:cs="仿宋"/>
          <w:spacing w:val="8"/>
          <w:position w:val="2"/>
          <w:sz w:val="31"/>
          <w:szCs w:val="31"/>
        </w:rPr>
        <w:t>项目绩效目标自评表</w:t>
      </w:r>
    </w:p>
    <w:p>
      <w:pPr>
        <w:spacing w:line="61" w:lineRule="exact"/>
      </w:pPr>
    </w:p>
    <w:p>
      <w:pPr>
        <w:rPr>
          <w:rFonts w:ascii="Arial"/>
          <w:sz w:val="21"/>
        </w:rPr>
      </w:pPr>
    </w:p>
    <w:tbl>
      <w:tblPr>
        <w:tblW w:w="147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995"/>
        <w:gridCol w:w="1364"/>
        <w:gridCol w:w="3001"/>
        <w:gridCol w:w="1355"/>
        <w:gridCol w:w="1355"/>
        <w:gridCol w:w="1789"/>
        <w:gridCol w:w="1048"/>
        <w:gridCol w:w="1349"/>
        <w:gridCol w:w="18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17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工会经费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104-马鞍山市博望区人民检察院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104001-马鞍山市博望区人民检察院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项目资金                    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分值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年度资金总额：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其中：本年财政拨款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上年结转资金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其他资金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8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工会经费用于本院工会会员，保障我院工作平稳开展。</w:t>
            </w:r>
          </w:p>
        </w:tc>
        <w:tc>
          <w:tcPr>
            <w:tcW w:w="5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经费全部用于工会途径。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产出指标(50分)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经费支出合规性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严格执行相关财经法、制度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资金支出时效性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≤12月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项目资金预算安排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成本总体安排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效益指标(30分)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保障检察工作平稳进行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影响程度明显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保障员工福利待遇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影响程度明显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满意度指标(10分)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服务对象满意度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≥95%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numPr>
          <w:ilvl w:val="0"/>
          <w:numId w:val="1"/>
        </w:numPr>
        <w:ind w:firstLine="652" w:firstLineChars="200"/>
        <w:rPr>
          <w:rFonts w:ascii="仿宋" w:hAnsi="仿宋" w:eastAsia="仿宋" w:cs="仿宋"/>
          <w:spacing w:val="8"/>
          <w:position w:val="2"/>
          <w:sz w:val="31"/>
          <w:szCs w:val="31"/>
        </w:rPr>
      </w:pPr>
      <w:r>
        <w:rPr>
          <w:rFonts w:hint="default" w:ascii="仿宋" w:hAnsi="仿宋" w:eastAsia="仿宋" w:cs="仿宋"/>
          <w:spacing w:val="8"/>
          <w:position w:val="2"/>
          <w:sz w:val="31"/>
          <w:szCs w:val="31"/>
          <w:lang w:val="en-US" w:eastAsia="zh-CN"/>
        </w:rPr>
        <w:t>2021年中央政法纪检监察转移支付资金</w:t>
      </w:r>
      <w:r>
        <w:rPr>
          <w:rFonts w:ascii="仿宋" w:hAnsi="仿宋" w:eastAsia="仿宋" w:cs="仿宋"/>
          <w:spacing w:val="8"/>
          <w:position w:val="2"/>
          <w:sz w:val="31"/>
          <w:szCs w:val="31"/>
        </w:rPr>
        <w:t>项目绩效目标自评表</w:t>
      </w:r>
    </w:p>
    <w:p>
      <w:pPr>
        <w:numPr>
          <w:numId w:val="0"/>
        </w:numPr>
        <w:rPr>
          <w:rFonts w:ascii="仿宋" w:hAnsi="仿宋" w:eastAsia="仿宋" w:cs="仿宋"/>
          <w:spacing w:val="8"/>
          <w:position w:val="2"/>
          <w:sz w:val="31"/>
          <w:szCs w:val="31"/>
        </w:rPr>
      </w:pPr>
    </w:p>
    <w:tbl>
      <w:tblPr>
        <w:tblW w:w="147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995"/>
        <w:gridCol w:w="1364"/>
        <w:gridCol w:w="3001"/>
        <w:gridCol w:w="1355"/>
        <w:gridCol w:w="1355"/>
        <w:gridCol w:w="1789"/>
        <w:gridCol w:w="1048"/>
        <w:gridCol w:w="1349"/>
        <w:gridCol w:w="18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17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2021年中央政法纪检监察转移支付资金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104-马鞍山市博望区人民检察院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104001-马鞍山市博望区人民检察院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项目资金                    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分值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年度资金总额：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其中：本年财政拨款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上年结转资金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其他资金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8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通过政法转移支付资金，建立起更加完善的检察院经费保障机制，以确保检察院依法履行职责。</w:t>
            </w:r>
          </w:p>
        </w:tc>
        <w:tc>
          <w:tcPr>
            <w:tcW w:w="5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使用政法转移支付资金，保障各项检察业务工作的进展，更好的完成检察职能。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产出指标(50分)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资金到位率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＝100%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案-件比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达到或超过全平均水平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资金拨付时效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及时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成本支出额度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效益指标(30分)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人民群众安全感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≥95%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提升检察执行能力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影响程度高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建立起更加完善的检察院经费保障机制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影响程度高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满意度指标(10分)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群众对检察工作满意度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≥95%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1"/>
        </w:numPr>
        <w:ind w:firstLine="652" w:firstLineChars="200"/>
        <w:rPr>
          <w:rFonts w:ascii="仿宋" w:hAnsi="仿宋" w:eastAsia="仿宋" w:cs="仿宋"/>
          <w:spacing w:val="8"/>
          <w:position w:val="2"/>
          <w:sz w:val="31"/>
          <w:szCs w:val="31"/>
        </w:rPr>
      </w:pPr>
      <w:r>
        <w:rPr>
          <w:rFonts w:hint="default" w:ascii="仿宋" w:hAnsi="仿宋" w:eastAsia="仿宋" w:cs="仿宋"/>
          <w:spacing w:val="8"/>
          <w:position w:val="2"/>
          <w:sz w:val="31"/>
          <w:szCs w:val="31"/>
          <w:lang w:val="en-US" w:eastAsia="zh-CN"/>
        </w:rPr>
        <w:t>补发退休人员补贴</w:t>
      </w:r>
      <w:r>
        <w:rPr>
          <w:rFonts w:ascii="仿宋" w:hAnsi="仿宋" w:eastAsia="仿宋" w:cs="仿宋"/>
          <w:spacing w:val="8"/>
          <w:position w:val="2"/>
          <w:sz w:val="31"/>
          <w:szCs w:val="31"/>
        </w:rPr>
        <w:t>项目绩效目标自评表</w:t>
      </w: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tbl>
      <w:tblPr>
        <w:tblW w:w="147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995"/>
        <w:gridCol w:w="1364"/>
        <w:gridCol w:w="3001"/>
        <w:gridCol w:w="1355"/>
        <w:gridCol w:w="1355"/>
        <w:gridCol w:w="1789"/>
        <w:gridCol w:w="1048"/>
        <w:gridCol w:w="1349"/>
        <w:gridCol w:w="18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17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补发退休人员补贴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104-马鞍山市博望区人民检察院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104001-马鞍山市博望区人民检察院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项目资金                    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分值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年度资金总额：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其中：本年财政拨款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上年结转资金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其他资金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8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保障检察工作正常运转，同时保障退休人员的补贴经费。</w:t>
            </w:r>
          </w:p>
        </w:tc>
        <w:tc>
          <w:tcPr>
            <w:tcW w:w="5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经费用于退休人员补贴，保障了退休人员的经费。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产出指标(50分)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资金支出合规性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严格执行相关财经法规、制度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资金支出时效性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≤12月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预算经费安排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3.112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成本经费安排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≤4万元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效益指标(30分)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保障检察工作正常进行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保障退休人员的补贴经费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满意度指标(10分)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服务对象满意度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≥95%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1"/>
        </w:numPr>
        <w:ind w:firstLine="652" w:firstLineChars="200"/>
        <w:rPr>
          <w:rFonts w:ascii="仿宋" w:hAnsi="仿宋" w:eastAsia="仿宋" w:cs="仿宋"/>
          <w:spacing w:val="8"/>
          <w:position w:val="2"/>
          <w:sz w:val="31"/>
          <w:szCs w:val="31"/>
        </w:rPr>
      </w:pPr>
      <w:r>
        <w:rPr>
          <w:rFonts w:hint="default" w:ascii="仿宋" w:hAnsi="仿宋" w:eastAsia="仿宋" w:cs="仿宋"/>
          <w:spacing w:val="8"/>
          <w:position w:val="2"/>
          <w:sz w:val="31"/>
          <w:szCs w:val="31"/>
          <w:lang w:val="en-US" w:eastAsia="zh-CN"/>
        </w:rPr>
        <w:t>博望区检察院两房基建</w:t>
      </w:r>
      <w:r>
        <w:rPr>
          <w:rFonts w:ascii="仿宋" w:hAnsi="仿宋" w:eastAsia="仿宋" w:cs="仿宋"/>
          <w:spacing w:val="8"/>
          <w:position w:val="2"/>
          <w:sz w:val="31"/>
          <w:szCs w:val="31"/>
        </w:rPr>
        <w:t>项目绩效目标自评表</w:t>
      </w: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tbl>
      <w:tblPr>
        <w:tblW w:w="147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995"/>
        <w:gridCol w:w="1364"/>
        <w:gridCol w:w="3101"/>
        <w:gridCol w:w="1244"/>
        <w:gridCol w:w="1322"/>
        <w:gridCol w:w="1848"/>
        <w:gridCol w:w="1083"/>
        <w:gridCol w:w="1316"/>
        <w:gridCol w:w="18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17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博望区检察院两房基建项目支出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104-马鞍山市博望区人民检察院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104001-马鞍山市博望区人民检察院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项目资金                    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分值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年度资金总额：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25.72%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其中：本年财政拨款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上年结转资金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其他资金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8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按合同支付2022年基建工程款。</w:t>
            </w:r>
          </w:p>
        </w:tc>
        <w:tc>
          <w:tcPr>
            <w:tcW w:w="5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2022年基建工程已基本完工，因为竣工审计未完成，造成项目支付进度较慢。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产出指标(50分)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工程验收合格率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＝100%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按期完工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达到进度要求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财政资金安排总额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经费支出控制范围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≤450万元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115.76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效益指标(30分)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人民群众安全感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≥95%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保障项目开展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效果较好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满意度指标(10分)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群众对检察工作满意度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≥95%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92.57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p>
      <w:pPr>
        <w:numPr>
          <w:ilvl w:val="0"/>
          <w:numId w:val="1"/>
        </w:numPr>
        <w:ind w:firstLine="652" w:firstLineChars="200"/>
        <w:rPr>
          <w:rFonts w:ascii="仿宋" w:hAnsi="仿宋" w:eastAsia="仿宋" w:cs="仿宋"/>
          <w:spacing w:val="8"/>
          <w:position w:val="2"/>
          <w:sz w:val="31"/>
          <w:szCs w:val="31"/>
        </w:rPr>
      </w:pPr>
      <w:r>
        <w:rPr>
          <w:rFonts w:hint="default" w:ascii="仿宋" w:hAnsi="仿宋" w:eastAsia="仿宋" w:cs="仿宋"/>
          <w:spacing w:val="8"/>
          <w:position w:val="2"/>
          <w:sz w:val="31"/>
          <w:szCs w:val="31"/>
          <w:lang w:val="en-US" w:eastAsia="zh-CN"/>
        </w:rPr>
        <w:t>聘用司机外包</w:t>
      </w:r>
      <w:r>
        <w:rPr>
          <w:rFonts w:ascii="仿宋" w:hAnsi="仿宋" w:eastAsia="仿宋" w:cs="仿宋"/>
          <w:spacing w:val="8"/>
          <w:position w:val="2"/>
          <w:sz w:val="31"/>
          <w:szCs w:val="31"/>
        </w:rPr>
        <w:t>项目绩效目标自评表</w:t>
      </w: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</w:pPr>
    </w:p>
    <w:tbl>
      <w:tblPr>
        <w:tblW w:w="147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995"/>
        <w:gridCol w:w="1364"/>
        <w:gridCol w:w="3041"/>
        <w:gridCol w:w="1143"/>
        <w:gridCol w:w="1450"/>
        <w:gridCol w:w="1812"/>
        <w:gridCol w:w="1062"/>
        <w:gridCol w:w="1367"/>
        <w:gridCol w:w="1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17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聘用司机外包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104-马鞍山市博望区人民检察院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104001-马鞍山市博望区人民检察院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项目资金                    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分值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年度资金总额：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其中：本年财政拨款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上年结转资金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其他资金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8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全年支付完成。</w:t>
            </w:r>
          </w:p>
        </w:tc>
        <w:tc>
          <w:tcPr>
            <w:tcW w:w="5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项目经费保障检察工作顺利进行。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产出指标(50分)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经费支出合规性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严格执行相关财经法、制度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资金支出时效性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≤12月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项目总成本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＝130000元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综合预算安排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≤15万元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效益指标(30分)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对提高群众生活水平，促进和谐社会建设的改善或提升程度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影响程度明显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项目经费保障检察工作顺利进行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影响程度明显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达成预期指标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满意度指标(10分)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4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服务对象满意度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≥95%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left"/>
        <w:textAlignment w:val="baseline"/>
        <w:sectPr>
          <w:footerReference r:id="rId6" w:type="default"/>
          <w:pgSz w:w="16839" w:h="11906"/>
          <w:pgMar w:top="1012" w:right="1439" w:bottom="1132" w:left="1415" w:header="0" w:footer="891" w:gutter="0"/>
          <w:cols w:space="720" w:num="1"/>
        </w:sectPr>
      </w:pPr>
    </w:p>
    <w:p>
      <w:pPr>
        <w:spacing w:before="70" w:line="413" w:lineRule="exact"/>
        <w:jc w:val="center"/>
        <w:rPr>
          <w:rFonts w:hint="eastAsia"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8"/>
          <w:position w:val="1"/>
          <w:sz w:val="31"/>
          <w:szCs w:val="31"/>
        </w:rPr>
        <w:t>第二部分 部门评价报告</w:t>
      </w:r>
    </w:p>
    <w:p>
      <w:pPr>
        <w:spacing w:line="387" w:lineRule="auto"/>
        <w:rPr>
          <w:rFonts w:ascii="Arial"/>
          <w:sz w:val="21"/>
        </w:rPr>
      </w:pPr>
    </w:p>
    <w:p>
      <w:pPr>
        <w:spacing w:before="140" w:line="221" w:lineRule="auto"/>
        <w:ind w:firstLine="458" w:firstLineChars="100"/>
        <w:jc w:val="center"/>
        <w:outlineLvl w:val="0"/>
        <w:rPr>
          <w:rFonts w:hint="eastAsia" w:ascii="仿宋" w:hAnsi="仿宋" w:eastAsia="仿宋" w:cs="仿宋"/>
          <w:spacing w:val="6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Times New Roman" w:hAnsi="Times New Roman" w:eastAsia="Times New Roman" w:cs="Times New Roman"/>
          <w:b/>
          <w:bCs/>
          <w:spacing w:val="14"/>
          <w:sz w:val="43"/>
          <w:szCs w:val="43"/>
        </w:rPr>
        <w:t>2</w:t>
      </w:r>
      <w:r>
        <w:rPr>
          <w:rFonts w:ascii="Times New Roman" w:hAnsi="Times New Roman" w:eastAsia="Times New Roman" w:cs="Times New Roman"/>
          <w:b/>
          <w:bCs/>
          <w:spacing w:val="8"/>
          <w:sz w:val="43"/>
          <w:szCs w:val="43"/>
        </w:rPr>
        <w:t>022</w:t>
      </w:r>
      <w:r>
        <w:rPr>
          <w:rFonts w:ascii="Times New Roman" w:hAnsi="Times New Roman" w:eastAsia="Times New Roman" w:cs="Times New Roman"/>
          <w:spacing w:val="8"/>
          <w:sz w:val="43"/>
          <w:szCs w:val="43"/>
        </w:rPr>
        <w:t xml:space="preserve"> </w:t>
      </w:r>
      <w:r>
        <w:rPr>
          <w:rFonts w:ascii="仿宋" w:hAnsi="仿宋" w:eastAsia="仿宋" w:cs="仿宋"/>
          <w:spacing w:val="8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年度</w:t>
      </w:r>
      <w:r>
        <w:rPr>
          <w:rFonts w:hint="eastAsia" w:ascii="仿宋" w:hAnsi="仿宋" w:eastAsia="仿宋" w:cs="仿宋"/>
          <w:spacing w:val="6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博望区检察院两房基建</w:t>
      </w:r>
    </w:p>
    <w:p>
      <w:pPr>
        <w:spacing w:before="140" w:line="221" w:lineRule="auto"/>
        <w:ind w:firstLine="446" w:firstLineChars="100"/>
        <w:jc w:val="center"/>
        <w:outlineLvl w:val="0"/>
        <w:rPr>
          <w:rFonts w:hint="eastAsia" w:ascii="仿宋" w:hAnsi="仿宋" w:eastAsia="仿宋" w:cs="仿宋"/>
          <w:sz w:val="43"/>
          <w:szCs w:val="43"/>
          <w:lang w:eastAsia="zh-CN"/>
        </w:rPr>
      </w:pPr>
      <w:r>
        <w:rPr>
          <w:rFonts w:hint="eastAsia" w:ascii="仿宋" w:hAnsi="仿宋" w:eastAsia="仿宋" w:cs="仿宋"/>
          <w:spacing w:val="8"/>
          <w:sz w:val="43"/>
          <w:szCs w:val="43"/>
          <w:lang w:val="en-US" w:eastAsia="zh-CN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项目</w:t>
      </w:r>
      <w:r>
        <w:rPr>
          <w:rFonts w:ascii="仿宋" w:hAnsi="仿宋" w:eastAsia="仿宋" w:cs="仿宋"/>
          <w:spacing w:val="6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绩效评价报告</w:t>
      </w:r>
    </w:p>
    <w:p>
      <w:pPr>
        <w:spacing w:line="336" w:lineRule="auto"/>
        <w:rPr>
          <w:rFonts w:ascii="Arial"/>
          <w:sz w:val="21"/>
        </w:rPr>
      </w:pPr>
    </w:p>
    <w:p>
      <w:pPr>
        <w:spacing w:line="540" w:lineRule="exact"/>
        <w:ind w:firstLine="6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项目</w:t>
      </w:r>
      <w:r>
        <w:rPr>
          <w:rFonts w:ascii="黑体" w:hAnsi="黑体" w:eastAsia="黑体" w:cs="黑体"/>
          <w:sz w:val="32"/>
          <w:szCs w:val="32"/>
        </w:rPr>
        <w:t>基本情况</w:t>
      </w:r>
    </w:p>
    <w:p>
      <w:pPr>
        <w:spacing w:line="540" w:lineRule="exact"/>
        <w:ind w:firstLine="600"/>
        <w:outlineLvl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（一）项目概况。</w:t>
      </w:r>
    </w:p>
    <w:p>
      <w:pPr>
        <w:spacing w:line="540" w:lineRule="exact"/>
        <w:ind w:firstLine="600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博望区于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2012年9月经国务院批复设立，同年经最高人民检察院批复设立马鞍山市博望区人民检察院。2021年7月前，检察院专业技术用房是租用的房子，基础设施条件差，功能不完善，不能满足现代检察管理工作的需要。为维护基层社会稳定、保障法律正确实施、加强基层民主法治建设，构建和谐社会，博望区人民检察院“两房”基建建设工程迫在眉睫。</w:t>
      </w:r>
    </w:p>
    <w:p>
      <w:pPr>
        <w:spacing w:line="540" w:lineRule="exact"/>
        <w:ind w:firstLine="600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两房”基建建设主要由房屋建筑、场地和建筑设备三部分组成。房屋建筑包括专业技术用房及其附属用房和设备用房、检务工作区等；场地包括道路、广场、停车、绿化等用地；建筑设备主要包括建筑给排水系统、空调系统、建筑电气系统、弱电系统、司法检验鉴定设备及信息化和智能化建设等。</w:t>
      </w:r>
    </w:p>
    <w:p>
      <w:pPr>
        <w:spacing w:line="540" w:lineRule="exact"/>
        <w:ind w:firstLine="600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“两房”基建建设自2018年开工，2021年7月投入使用，工程建设稳步进行。</w:t>
      </w:r>
    </w:p>
    <w:p>
      <w:pPr>
        <w:spacing w:line="540" w:lineRule="exact"/>
        <w:ind w:firstLine="600"/>
        <w:outlineLvl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2022年，本级财政拨款450万元，博望区人民检察院将所有拨款都严格按照相关财经法规、制度执行支付，全年共计支付使用115.76万元。</w:t>
      </w:r>
    </w:p>
    <w:p>
      <w:pPr>
        <w:numPr>
          <w:ilvl w:val="0"/>
          <w:numId w:val="2"/>
        </w:numPr>
        <w:spacing w:line="540" w:lineRule="exact"/>
        <w:ind w:firstLine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项目绩效目标。包括总体目标和阶段性目标。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基建建设，改善社会治安环境，增强城市吸引力。开展检察业务和检察监督，提高检察办案办公现代化水平，强化科学技术与检察工作的深度融合，促进检察工作提质增效，推进刑事检察、民事检察、行政检察、公益诉讼检察发展，维护国家政治安全、确保社会大局稳定、促进社会公平正义、保障人民安居乐业、服务经济社会发展，为全面建设现代化五大发展美好安徽创造安全的政治环境、稳定的社会环境、公正的法治环境、优质的服务环境。</w:t>
      </w:r>
    </w:p>
    <w:p>
      <w:pPr>
        <w:spacing w:line="540" w:lineRule="exact"/>
        <w:ind w:firstLine="6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二、绩效评价工作开展情况</w:t>
      </w:r>
    </w:p>
    <w:p>
      <w:pPr>
        <w:spacing w:line="540" w:lineRule="exact"/>
        <w:ind w:firstLine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（一）绩效评价目的、对象和范围。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根据年初设定的项目绩效目标，运用科学、合理的绩效评价指标、评价标准和评价方法，对预算支出的经济性、效率性和效益性进行客观、公正的评价。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绩效评价对象为本级支出。绩效评价以项目支出绩效评价为重点，重点评价年初财政批复的与我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院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职能职责密切相关、具有明显社会影响和经济影响的项目。绩效评价一般以预算年度为周期，年度预算执行完毕和项目实施完成后，按照事先确定的绩效目标开展部门项目自评，形成自评报告，报送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财政局对口业务科室审核备案。并对绩效自评中存在的问题进行认真整改，加强绩效评价结果应用。</w:t>
      </w:r>
    </w:p>
    <w:p>
      <w:pPr>
        <w:spacing w:line="540" w:lineRule="exact"/>
        <w:ind w:firstLine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（二）绩效评价原则、评价指标体系、评价方法、评价标准。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01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1.绩效评价原则：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绩效导向原则。预算绩效管理各个环节要以绩效为核心导向，将绩效管理贯穿于预算管理全过程，实现财政资金运行和预算管理效益最大化。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目标管理原则。预算绩效管理要围绕绩效目标来进行，事前设定目标、事中监控目标实现进程、事后评价目标完成情况。责任追究原则。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预算绩效管理强调各部门的预算支出责任和财政部门的监管责任，实行绩效问责。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信息公开原则。绩效管理结果信息要逐步向社会公开，接受有关机构和社会公众的监督。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2.评价指标体系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根据项目相关性、重要性、可比性、经济性、系统性原则，结合财政支出项目绩效评价的相关要求设立相应的指标，并分配相应的分值。本项目设置4个一级指标（预算执行、产出、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效益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、满意度）；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9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个二级指标（执行率、产出数量、产出质量、产出时效、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产出成本、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社会效益、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生态效益、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可持续影响、满意度）；1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7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个三级指标。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绩效评价指标体系从预算执行、项目产出、项目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效益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、满意度四个方面进行构建，“预算执行”分值权重10分，“项目产出”分值权重50分，“项目效果”分值权重30分，“满意度”分值权重10分。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3.评价方法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审阅资料。绩效评价工作小组查阅抽查单位及项目的会计凭证、会计账簿等，检查资金到位情况，资金拨付、支出情况，相关会计制度执行情况，是否存在违规现象，对预算执行情况、资金拨付执行情况、资金使用规范情况、主要项目内容完成情况的检查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比较法。通过对绩效目标与实施效果、历史与当期情况、不同地区同类支出的比较，综合分析绩效目标实现程度。依据下达的投资预算，对照我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院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实际完成内容，评价实际实施内容与批复预算的完成情况；依据相关政策文件，评价项目是否按照项目管理办法等文件执行；依据项目资金计划文件和凭证，评价项目资金下拨、到位及使用情况；将项目绩效目标与实施结果对比分析，判断项目目标的实现情况；将项目预期效益与实施效果数据对比分析，结合开展问卷调查，评价项目预期效益实现程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4.评价标准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）《安徽省人民政府关于全面推进预算绩效管理的意见》（皖政〔2011〕115号）；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）《安徽省财政厅关于印发省财政厅预算绩效管理工作内部规程（暂行）的通知》（财预〔2013〕520号）；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博望区财政预算绩效评价体系和指标库（2021年版）》（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博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预〔20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〕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57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号）；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）《中共马鞍山市委、马鞍山市人民政府关于印发&lt;马鞍山市全面实施预算绩效管理办法&gt;的通知》（马发〔2019〕20号）；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）《中共马鞍山市博望区委、马鞍山市博望区人民政府关于印发〈博望区全面实施预算绩效管理细则〉的通知》（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马博发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〔20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〕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号）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区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财政局关于202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年度部门绩效评价工作要求；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）其他。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（三）绩效评价工作过程。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根据博望区财政局《博望区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支出绩效评价202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年工作实施方案》博财【202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号要求，检察院成立了以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党组成员、</w:t>
      </w:r>
      <w:r>
        <w:rPr>
          <w:rFonts w:hint="eastAsia" w:ascii="仿宋_GB2312" w:hAnsi="仿宋_GB2312" w:eastAsia="仿宋_GB2312" w:cs="仿宋_GB2312"/>
          <w:sz w:val="32"/>
          <w:szCs w:val="32"/>
        </w:rPr>
        <w:t>专职检委陈伟强为组长，以办公室人员为小组成员的绩效考核自评小组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。组长主要负责绩效评价工作的总体质量，负责与业务有关各方在重大事项方面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充分且及时沟通，解决业务执行中所有重大方面的相关事项。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小组成员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负责整体支出绩效评价的具体实施，进行整体支出前期调研、制定绩效指标体系、实施方案，编写绩效评价报告。</w:t>
      </w:r>
    </w:p>
    <w:p>
      <w:pPr>
        <w:spacing w:line="540" w:lineRule="exact"/>
        <w:ind w:firstLine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三、综合评价情况及评价结论</w:t>
      </w:r>
      <w:r>
        <w:rPr>
          <w:rFonts w:ascii="仿宋_GB2312" w:hAnsi="仿宋_GB2312" w:eastAsia="仿宋_GB2312" w:cs="仿宋_GB2312"/>
          <w:sz w:val="32"/>
          <w:szCs w:val="32"/>
        </w:rPr>
        <w:t>（附相关评分表）</w:t>
      </w:r>
    </w:p>
    <w:tbl>
      <w:tblPr>
        <w:tblStyle w:val="5"/>
        <w:tblW w:w="10136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700"/>
        <w:gridCol w:w="700"/>
        <w:gridCol w:w="2030"/>
        <w:gridCol w:w="900"/>
        <w:gridCol w:w="960"/>
        <w:gridCol w:w="980"/>
        <w:gridCol w:w="830"/>
        <w:gridCol w:w="720"/>
        <w:gridCol w:w="833"/>
        <w:gridCol w:w="9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136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9"/>
                <w:lang w:val="en-US" w:eastAsia="zh-CN" w:bidi="ar"/>
              </w:rPr>
              <w:t>项目支出绩效自评表</w:t>
            </w:r>
            <w:r>
              <w:rPr>
                <w:rStyle w:val="1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136" w:type="dxa"/>
            <w:gridSpan w:val="11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   2022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8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25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博望区检察院“两房”基建项目支出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8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8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马鞍山市博望区人民检察院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33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博望区人民检察院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8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115.76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25.72%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8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 xml:space="preserve"> </w:t>
            </w:r>
            <w:r>
              <w:rPr>
                <w:rStyle w:val="12"/>
                <w:lang w:val="en-US" w:eastAsia="zh-CN" w:bidi="ar"/>
              </w:rPr>
              <w:t>其中：本年财政拨款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115.76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25.72%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8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上年结转资金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8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 xml:space="preserve"> </w:t>
            </w:r>
            <w:r>
              <w:rPr>
                <w:rStyle w:val="12"/>
                <w:lang w:val="en-US" w:eastAsia="zh-CN" w:bidi="ar"/>
              </w:rPr>
              <w:t xml:space="preserve">      其他资金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(50分)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指标1：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指标1：基建工程项目竣工验收合格率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指标1：按期完工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达到进度要求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达到预期指标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指标1：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(30分)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2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指标1：人民群众安全感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98%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2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指标1：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响指标</w:t>
            </w:r>
          </w:p>
        </w:tc>
        <w:tc>
          <w:tcPr>
            <w:tcW w:w="2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指标1：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(10分)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指标1：群众对检察工作满意度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97%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92.57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院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“两房”基建项目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支出绩效自评得分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92.57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分，评价等级为“优”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年项目支出预算管理目标、绩效指标基本明确；重点支出保障程度较高；项目预算执行情况整体较好，信息公开及时，部门履职效果较好，有效维护社会和谐稳定、促进社会公平正义、保障人民安居乐业。</w:t>
      </w:r>
    </w:p>
    <w:p>
      <w:pPr>
        <w:spacing w:line="540" w:lineRule="exact"/>
        <w:ind w:firstLine="6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四、绩效评价指标分析</w:t>
      </w:r>
      <w:r>
        <w:rPr>
          <w:rFonts w:hint="eastAsia" w:ascii="仿宋_GB2312" w:hAnsi="黑体" w:eastAsia="仿宋_GB2312" w:cs="黑体"/>
          <w:sz w:val="32"/>
          <w:szCs w:val="32"/>
        </w:rPr>
        <w:t>（可附表进行分析）</w:t>
      </w:r>
    </w:p>
    <w:p>
      <w:pPr>
        <w:spacing w:line="540" w:lineRule="exact"/>
        <w:ind w:firstLine="600"/>
        <w:outlineLvl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（一）项目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执行</w:t>
      </w:r>
      <w:r>
        <w:rPr>
          <w:rFonts w:ascii="仿宋_GB2312" w:hAnsi="仿宋_GB2312" w:eastAsia="仿宋_GB2312" w:cs="仿宋_GB2312"/>
          <w:sz w:val="32"/>
          <w:szCs w:val="32"/>
        </w:rPr>
        <w:t>情况。</w:t>
      </w:r>
    </w:p>
    <w:p>
      <w:pPr>
        <w:spacing w:line="540" w:lineRule="exact"/>
        <w:ind w:firstLine="600"/>
        <w:outlineLvl w:val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2022年预算安排项目资金450万元，实际到位资金450万元，全年支付资金115.76万元，项目资金使用率25.72%。</w:t>
      </w:r>
    </w:p>
    <w:p>
      <w:pPr>
        <w:numPr>
          <w:ilvl w:val="0"/>
          <w:numId w:val="0"/>
        </w:numPr>
        <w:spacing w:line="540" w:lineRule="exact"/>
        <w:ind w:left="600" w:leftChars="0"/>
        <w:outlineLvl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产出</w:t>
      </w:r>
      <w:r>
        <w:rPr>
          <w:rFonts w:ascii="仿宋_GB2312" w:hAnsi="仿宋_GB2312" w:eastAsia="仿宋_GB2312" w:cs="仿宋_GB2312"/>
          <w:sz w:val="32"/>
          <w:szCs w:val="32"/>
        </w:rPr>
        <w:t>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“两房”基建项目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竣工验收合格率达到了100%。</w:t>
      </w:r>
    </w:p>
    <w:p>
      <w:pPr>
        <w:numPr>
          <w:ilvl w:val="0"/>
          <w:numId w:val="3"/>
        </w:numPr>
        <w:spacing w:line="540" w:lineRule="exact"/>
        <w:ind w:left="0" w:leftChars="0" w:firstLine="600" w:firstLineChars="0"/>
        <w:outlineLvl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效益</w:t>
      </w:r>
      <w:r>
        <w:rPr>
          <w:rFonts w:ascii="仿宋_GB2312" w:hAnsi="仿宋_GB2312" w:eastAsia="仿宋_GB2312" w:cs="仿宋_GB2312"/>
          <w:sz w:val="32"/>
          <w:szCs w:val="32"/>
        </w:rPr>
        <w:t>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促进了单位事业的发展，维护了检察形象，人民群众安全达到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98%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3"/>
        </w:numPr>
        <w:spacing w:line="540" w:lineRule="exact"/>
        <w:ind w:left="0" w:leftChars="0" w:firstLine="600" w:firstLineChars="0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目满意度情况。</w:t>
      </w:r>
    </w:p>
    <w:p>
      <w:pPr>
        <w:numPr>
          <w:ilvl w:val="0"/>
          <w:numId w:val="0"/>
        </w:numPr>
        <w:spacing w:line="54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提供了良好的工作环境，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维护社会和谐稳定、促进社会公平正义、保障人民安居乐业，群众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对检察工作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满意度达到9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%。</w:t>
      </w:r>
    </w:p>
    <w:p>
      <w:pPr>
        <w:numPr>
          <w:ilvl w:val="0"/>
          <w:numId w:val="4"/>
        </w:numPr>
        <w:spacing w:line="540" w:lineRule="exact"/>
        <w:ind w:firstLine="6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主要经验及做法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强化预算约束，拟定工作方案，明确推进计划，有效推进项目进度。对项目绩效目标实现情况进行跟踪监控，及时纠正偏差。</w:t>
      </w:r>
    </w:p>
    <w:p>
      <w:pPr>
        <w:numPr>
          <w:ilvl w:val="0"/>
          <w:numId w:val="4"/>
        </w:numPr>
        <w:spacing w:line="540" w:lineRule="exact"/>
        <w:ind w:left="0" w:leftChars="0" w:firstLine="600" w:firstLineChars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存在问题及原因分析</w:t>
      </w:r>
    </w:p>
    <w:p>
      <w:pPr>
        <w:widowControl w:val="0"/>
        <w:spacing w:line="540" w:lineRule="exact"/>
        <w:ind w:firstLine="601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“两房”基建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项目尚未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完成竣工验收审计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预算完成率未达到100%，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造成项目经费结余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，资金支付进度缓慢。</w:t>
      </w:r>
    </w:p>
    <w:p>
      <w:pPr>
        <w:widowControl w:val="0"/>
        <w:spacing w:line="540" w:lineRule="exact"/>
        <w:ind w:firstLine="60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有关建议</w:t>
      </w:r>
    </w:p>
    <w:p>
      <w:pPr>
        <w:widowControl w:val="0"/>
        <w:spacing w:line="540" w:lineRule="exact"/>
        <w:ind w:firstLine="601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尽快完成竣工验收审计，加快资金支付进度。</w:t>
      </w:r>
    </w:p>
    <w:p>
      <w:pPr>
        <w:tabs>
          <w:tab w:val="left" w:pos="800"/>
        </w:tabs>
        <w:spacing w:before="5" w:line="319" w:lineRule="auto"/>
        <w:ind w:left="19" w:right="95" w:firstLine="626"/>
        <w:rPr>
          <w:rFonts w:ascii="仿宋" w:hAnsi="仿宋" w:eastAsia="仿宋" w:cs="仿宋"/>
          <w:sz w:val="31"/>
          <w:szCs w:val="31"/>
        </w:rPr>
      </w:pPr>
    </w:p>
    <w:sectPr>
      <w:footerReference r:id="rId7" w:type="default"/>
      <w:pgSz w:w="11906" w:h="16839"/>
      <w:pgMar w:top="1431" w:right="1699" w:bottom="1132" w:left="1785" w:header="0" w:footer="89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3" w:lineRule="auto"/>
      <w:ind w:right="324"/>
      <w:jc w:val="right"/>
      <w:rPr>
        <w:rFonts w:ascii="仿宋" w:hAnsi="仿宋" w:eastAsia="仿宋" w:cs="仿宋"/>
        <w:sz w:val="23"/>
        <w:szCs w:val="23"/>
      </w:rPr>
    </w:pPr>
    <w:r>
      <w:rPr>
        <w:rFonts w:ascii="仿宋" w:hAnsi="仿宋" w:eastAsia="仿宋" w:cs="仿宋"/>
        <w:spacing w:val="4"/>
        <w:sz w:val="23"/>
        <w:szCs w:val="23"/>
      </w:rPr>
      <w:t>- 1 -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3" w:lineRule="auto"/>
      <w:jc w:val="right"/>
      <w:rPr>
        <w:rFonts w:ascii="仿宋" w:hAnsi="仿宋" w:eastAsia="仿宋" w:cs="仿宋"/>
        <w:sz w:val="23"/>
        <w:szCs w:val="23"/>
      </w:rPr>
    </w:pPr>
    <w:r>
      <w:rPr>
        <w:rFonts w:ascii="仿宋" w:hAnsi="仿宋" w:eastAsia="仿宋" w:cs="仿宋"/>
        <w:spacing w:val="6"/>
        <w:sz w:val="23"/>
        <w:szCs w:val="23"/>
      </w:rPr>
      <w:t>-</w:t>
    </w:r>
    <w:r>
      <w:rPr>
        <w:rFonts w:ascii="仿宋" w:hAnsi="仿宋" w:eastAsia="仿宋" w:cs="仿宋"/>
        <w:spacing w:val="4"/>
        <w:sz w:val="23"/>
        <w:szCs w:val="23"/>
      </w:rPr>
      <w:t xml:space="preserve"> </w:t>
    </w:r>
    <w:r>
      <w:rPr>
        <w:rFonts w:ascii="仿宋" w:hAnsi="仿宋" w:eastAsia="仿宋" w:cs="仿宋"/>
        <w:spacing w:val="3"/>
        <w:sz w:val="23"/>
        <w:szCs w:val="23"/>
      </w:rPr>
      <w:t>42 -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2" w:lineRule="auto"/>
      <w:ind w:right="97"/>
      <w:jc w:val="right"/>
      <w:rPr>
        <w:rFonts w:ascii="仿宋" w:hAnsi="仿宋" w:eastAsia="仿宋" w:cs="仿宋"/>
        <w:sz w:val="23"/>
        <w:szCs w:val="23"/>
      </w:rPr>
    </w:pPr>
    <w:r>
      <w:rPr>
        <w:rFonts w:ascii="仿宋" w:hAnsi="仿宋" w:eastAsia="仿宋" w:cs="仿宋"/>
        <w:spacing w:val="4"/>
        <w:sz w:val="23"/>
        <w:szCs w:val="23"/>
      </w:rPr>
      <w:t>- 47 -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3D25B4"/>
    <w:multiLevelType w:val="singleLevel"/>
    <w:tmpl w:val="993D25B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0281F02"/>
    <w:multiLevelType w:val="singleLevel"/>
    <w:tmpl w:val="E0281F0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A82C543"/>
    <w:multiLevelType w:val="singleLevel"/>
    <w:tmpl w:val="2A82C54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33550A8D"/>
    <w:multiLevelType w:val="singleLevel"/>
    <w:tmpl w:val="33550A8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WUyODAyMzMyMjQ2YjAyZTJlYTA0OTQxMzg0NWQ3NzUifQ=="/>
  </w:docVars>
  <w:rsids>
    <w:rsidRoot w:val="00000000"/>
    <w:rsid w:val="02B250DA"/>
    <w:rsid w:val="04114082"/>
    <w:rsid w:val="19CC3C46"/>
    <w:rsid w:val="1F29007A"/>
    <w:rsid w:val="315C42DF"/>
    <w:rsid w:val="415C2E07"/>
    <w:rsid w:val="4BF1357B"/>
    <w:rsid w:val="4DD70FFB"/>
    <w:rsid w:val="526037D7"/>
    <w:rsid w:val="566E4490"/>
    <w:rsid w:val="63576530"/>
    <w:rsid w:val="6B720EB5"/>
    <w:rsid w:val="6C4473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kern w:val="0"/>
      <w:sz w:val="12"/>
      <w:szCs w:val="12"/>
      <w:lang w:val="en-US" w:eastAsia="zh-CN" w:bidi="ar"/>
    </w:rPr>
  </w:style>
  <w:style w:type="character" w:styleId="7">
    <w:name w:val="page number"/>
    <w:basedOn w:val="6"/>
    <w:uiPriority w:val="0"/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font10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10">
    <w:name w:val="font51"/>
    <w:basedOn w:val="6"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1">
    <w:name w:val="font4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9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153</Words>
  <Characters>174</Characters>
  <TotalTime>0</TotalTime>
  <ScaleCrop>false</ScaleCrop>
  <LinksUpToDate>false</LinksUpToDate>
  <CharactersWithSpaces>182</CharactersWithSpaces>
  <Application>WPS Office_12.1.0.15374_F1E327BC-269C-435d-A152-05C5408002CA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2023-08-31T08:38:00Z</dcterms:created>
  <dc:creator>uos</dc:creator>
  <cp:lastModifiedBy>孙楠楠</cp:lastModifiedBy>
  <dcterms:modified xsi:type="dcterms:W3CDTF">2023-09-18T04:02:15Z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2023-09-05T11:28:39Z</vt:filetime>
  </property>
  <property fmtid="{D5CDD505-2E9C-101B-9397-08002B2CF9AE}" pid="4" name="KSOProductBuildVer">
    <vt:lpwstr>2052-12.1.0.15374</vt:lpwstr>
  </property>
  <property fmtid="{D5CDD505-2E9C-101B-9397-08002B2CF9AE}" pid="5" name="ICV">
    <vt:lpwstr>F6FF770D91244E319162C8F2AB1ED2A3_12</vt:lpwstr>
  </property>
</Properties>
</file>