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rPr>
          <w:rFonts w:ascii="华文中宋" w:hAnsi="华文中宋" w:eastAsia="华文中宋" w:cs="华文中宋"/>
          <w:b/>
          <w:sz w:val="52"/>
          <w:szCs w:val="84"/>
        </w:rPr>
      </w:pPr>
    </w:p>
    <w:p>
      <w:pPr>
        <w:pStyle w:val="2"/>
        <w:rPr>
          <w:rFonts w:ascii="华文中宋" w:hAnsi="华文中宋" w:eastAsia="华文中宋" w:cs="华文中宋"/>
          <w:b/>
          <w:sz w:val="52"/>
          <w:szCs w:val="84"/>
        </w:rPr>
      </w:pPr>
    </w:p>
    <w:p>
      <w:pPr>
        <w:pStyle w:val="2"/>
        <w:rPr>
          <w:rFonts w:ascii="华文中宋" w:hAnsi="华文中宋" w:eastAsia="华文中宋" w:cs="华文中宋"/>
          <w:b/>
          <w:sz w:val="52"/>
          <w:szCs w:val="84"/>
        </w:rPr>
      </w:pPr>
    </w:p>
    <w:p>
      <w:pPr>
        <w:adjustRightInd w:val="0"/>
        <w:snapToGrid w:val="0"/>
        <w:spacing w:line="360" w:lineRule="auto"/>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马鞍山市博望区人民检察院</w:t>
      </w:r>
    </w:p>
    <w:p>
      <w:pPr>
        <w:adjustRightInd w:val="0"/>
        <w:snapToGrid w:val="0"/>
        <w:spacing w:line="360" w:lineRule="auto"/>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2022年度部门决算</w:t>
      </w: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pStyle w:val="3"/>
        <w:adjustRightInd w:val="0"/>
        <w:snapToGrid w:val="0"/>
        <w:spacing w:before="0" w:beforeAutospacing="0" w:after="0" w:afterAutospacing="0" w:line="360" w:lineRule="auto"/>
        <w:jc w:val="center"/>
        <w:rPr>
          <w:rFonts w:ascii="黑体" w:hAnsi="黑体" w:eastAsia="黑体"/>
          <w:bCs/>
          <w:sz w:val="44"/>
          <w:szCs w:val="44"/>
        </w:rPr>
      </w:pPr>
      <w:r>
        <w:rPr>
          <w:rFonts w:hint="eastAsia" w:ascii="黑体" w:hAnsi="黑体" w:eastAsia="黑体"/>
          <w:bCs/>
          <w:sz w:val="44"/>
          <w:szCs w:val="44"/>
        </w:rPr>
        <w:t>2023年9月</w:t>
      </w:r>
    </w:p>
    <w:p>
      <w:pPr>
        <w:spacing w:line="580" w:lineRule="exact"/>
        <w:jc w:val="center"/>
        <w:rPr>
          <w:rFonts w:ascii="黑体" w:hAnsi="宋体" w:eastAsia="黑体"/>
          <w:bCs/>
          <w:sz w:val="48"/>
          <w:szCs w:val="48"/>
        </w:rPr>
      </w:pPr>
    </w:p>
    <w:p>
      <w:pPr>
        <w:spacing w:line="580" w:lineRule="exact"/>
        <w:jc w:val="center"/>
        <w:rPr>
          <w:rFonts w:ascii="黑体" w:hAnsi="宋体" w:eastAsia="黑体"/>
          <w:bCs/>
          <w:sz w:val="48"/>
          <w:szCs w:val="48"/>
        </w:rPr>
      </w:pPr>
    </w:p>
    <w:p>
      <w:pPr>
        <w:spacing w:line="580" w:lineRule="exact"/>
        <w:rPr>
          <w:rFonts w:ascii="黑体" w:hAnsi="宋体" w:eastAsia="黑体"/>
          <w:bCs/>
          <w:sz w:val="48"/>
          <w:szCs w:val="48"/>
        </w:rPr>
      </w:pPr>
    </w:p>
    <w:p>
      <w:pPr>
        <w:spacing w:line="580" w:lineRule="exact"/>
        <w:jc w:val="center"/>
        <w:rPr>
          <w:rFonts w:ascii="黑体" w:hAnsi="宋体" w:eastAsia="黑体"/>
          <w:bCs/>
          <w:sz w:val="48"/>
          <w:szCs w:val="48"/>
        </w:rPr>
      </w:pPr>
      <w:r>
        <w:rPr>
          <w:rFonts w:hint="eastAsia" w:ascii="黑体" w:hAnsi="宋体" w:eastAsia="黑体"/>
          <w:bCs/>
          <w:sz w:val="48"/>
          <w:szCs w:val="48"/>
        </w:rPr>
        <w:t>目  录</w:t>
      </w:r>
    </w:p>
    <w:p>
      <w:pPr>
        <w:spacing w:line="550" w:lineRule="exact"/>
        <w:rPr>
          <w:rFonts w:ascii="宋体" w:hAnsi="宋体"/>
          <w:b/>
          <w:sz w:val="36"/>
          <w:szCs w:val="36"/>
        </w:rPr>
      </w:pPr>
      <w:r>
        <w:rPr>
          <w:rFonts w:hint="eastAsia" w:ascii="宋体" w:hAnsi="宋体"/>
          <w:b/>
          <w:sz w:val="36"/>
          <w:szCs w:val="36"/>
        </w:rPr>
        <w:t>第一部分 马鞍山市博望区人民检察院概况</w:t>
      </w:r>
    </w:p>
    <w:p>
      <w:pPr>
        <w:spacing w:line="550" w:lineRule="exact"/>
        <w:rPr>
          <w:rFonts w:ascii="宋体" w:hAnsi="宋体"/>
          <w:bCs/>
          <w:sz w:val="36"/>
          <w:szCs w:val="36"/>
        </w:rPr>
      </w:pPr>
      <w:r>
        <w:rPr>
          <w:rFonts w:hint="eastAsia" w:ascii="宋体" w:hAnsi="宋体"/>
          <w:bCs/>
          <w:sz w:val="36"/>
          <w:szCs w:val="36"/>
        </w:rPr>
        <w:t>一、部门职责</w:t>
      </w:r>
    </w:p>
    <w:p>
      <w:pPr>
        <w:spacing w:line="550" w:lineRule="exact"/>
        <w:rPr>
          <w:rFonts w:ascii="宋体" w:hAnsi="宋体"/>
          <w:bCs/>
          <w:sz w:val="36"/>
          <w:szCs w:val="36"/>
        </w:rPr>
      </w:pPr>
      <w:r>
        <w:rPr>
          <w:rFonts w:hint="eastAsia" w:ascii="宋体" w:hAnsi="宋体"/>
          <w:bCs/>
          <w:sz w:val="36"/>
          <w:szCs w:val="36"/>
        </w:rPr>
        <w:t>二、机构设置</w:t>
      </w:r>
    </w:p>
    <w:p>
      <w:pPr>
        <w:spacing w:line="550" w:lineRule="exact"/>
        <w:rPr>
          <w:rFonts w:ascii="宋体" w:hAnsi="宋体"/>
          <w:b/>
          <w:sz w:val="36"/>
          <w:szCs w:val="36"/>
        </w:rPr>
      </w:pPr>
      <w:r>
        <w:rPr>
          <w:rFonts w:hint="eastAsia" w:ascii="宋体" w:hAnsi="宋体"/>
          <w:b/>
          <w:sz w:val="36"/>
          <w:szCs w:val="36"/>
        </w:rPr>
        <w:t>第二部分 马鞍山市博望区人民检察院2022年度部门决算表</w:t>
      </w:r>
    </w:p>
    <w:p>
      <w:pPr>
        <w:spacing w:line="550" w:lineRule="exact"/>
        <w:rPr>
          <w:rFonts w:ascii="宋体" w:hAnsi="宋体"/>
          <w:bCs/>
          <w:sz w:val="36"/>
          <w:szCs w:val="36"/>
        </w:rPr>
      </w:pPr>
      <w:r>
        <w:rPr>
          <w:rFonts w:hint="eastAsia" w:ascii="宋体" w:hAnsi="宋体"/>
          <w:bCs/>
          <w:sz w:val="36"/>
          <w:szCs w:val="36"/>
        </w:rPr>
        <w:t>一、收入支出决算总表</w:t>
      </w:r>
    </w:p>
    <w:p>
      <w:pPr>
        <w:spacing w:line="550" w:lineRule="exact"/>
        <w:rPr>
          <w:rFonts w:ascii="宋体" w:hAnsi="宋体"/>
          <w:bCs/>
          <w:sz w:val="36"/>
          <w:szCs w:val="36"/>
        </w:rPr>
      </w:pPr>
      <w:r>
        <w:rPr>
          <w:rFonts w:hint="eastAsia" w:ascii="宋体" w:hAnsi="宋体"/>
          <w:bCs/>
          <w:sz w:val="36"/>
          <w:szCs w:val="36"/>
        </w:rPr>
        <w:t>二、收入决算表</w:t>
      </w:r>
    </w:p>
    <w:p>
      <w:pPr>
        <w:spacing w:line="550" w:lineRule="exact"/>
        <w:rPr>
          <w:rFonts w:ascii="宋体" w:hAnsi="宋体"/>
          <w:bCs/>
          <w:sz w:val="36"/>
          <w:szCs w:val="36"/>
        </w:rPr>
      </w:pPr>
      <w:r>
        <w:rPr>
          <w:rFonts w:hint="eastAsia" w:ascii="宋体" w:hAnsi="宋体"/>
          <w:bCs/>
          <w:sz w:val="36"/>
          <w:szCs w:val="36"/>
        </w:rPr>
        <w:t>三、支出决算表</w:t>
      </w:r>
    </w:p>
    <w:p>
      <w:pPr>
        <w:spacing w:line="550" w:lineRule="exact"/>
        <w:rPr>
          <w:rFonts w:ascii="宋体" w:hAnsi="宋体"/>
          <w:bCs/>
          <w:sz w:val="36"/>
          <w:szCs w:val="36"/>
        </w:rPr>
      </w:pPr>
      <w:r>
        <w:rPr>
          <w:rFonts w:hint="eastAsia" w:ascii="宋体" w:hAnsi="宋体"/>
          <w:bCs/>
          <w:sz w:val="36"/>
          <w:szCs w:val="36"/>
        </w:rPr>
        <w:t>四、财政拨款收入支出决算总表</w:t>
      </w:r>
    </w:p>
    <w:p>
      <w:pPr>
        <w:spacing w:line="550" w:lineRule="exact"/>
        <w:rPr>
          <w:rFonts w:ascii="宋体" w:hAnsi="宋体"/>
          <w:bCs/>
          <w:sz w:val="36"/>
          <w:szCs w:val="36"/>
        </w:rPr>
      </w:pPr>
      <w:r>
        <w:rPr>
          <w:rFonts w:hint="eastAsia" w:ascii="宋体" w:hAnsi="宋体"/>
          <w:bCs/>
          <w:sz w:val="36"/>
          <w:szCs w:val="36"/>
        </w:rPr>
        <w:t>五、一般公共预算财政拨款支出决算表</w:t>
      </w:r>
    </w:p>
    <w:p>
      <w:pPr>
        <w:spacing w:line="550" w:lineRule="exact"/>
        <w:rPr>
          <w:rFonts w:ascii="宋体" w:hAnsi="宋体"/>
          <w:bCs/>
          <w:sz w:val="36"/>
          <w:szCs w:val="36"/>
        </w:rPr>
      </w:pPr>
      <w:r>
        <w:rPr>
          <w:rFonts w:hint="eastAsia" w:ascii="宋体" w:hAnsi="宋体"/>
          <w:bCs/>
          <w:sz w:val="36"/>
          <w:szCs w:val="36"/>
        </w:rPr>
        <w:t>六、一般公共预算财政拨款基本支出决算明细表</w:t>
      </w:r>
    </w:p>
    <w:p>
      <w:pPr>
        <w:spacing w:line="550" w:lineRule="exact"/>
        <w:rPr>
          <w:rFonts w:ascii="宋体" w:hAnsi="宋体"/>
          <w:bCs/>
          <w:sz w:val="36"/>
          <w:szCs w:val="36"/>
        </w:rPr>
      </w:pPr>
      <w:r>
        <w:rPr>
          <w:rFonts w:hint="eastAsia" w:ascii="宋体" w:hAnsi="宋体"/>
          <w:bCs/>
          <w:sz w:val="36"/>
          <w:szCs w:val="36"/>
        </w:rPr>
        <w:t>七、政府性基金预算财政拨款收入支出决算表</w:t>
      </w:r>
    </w:p>
    <w:p>
      <w:pPr>
        <w:spacing w:line="550" w:lineRule="exact"/>
        <w:rPr>
          <w:rFonts w:ascii="宋体" w:hAnsi="宋体"/>
          <w:bCs/>
          <w:sz w:val="36"/>
          <w:szCs w:val="36"/>
        </w:rPr>
      </w:pPr>
      <w:r>
        <w:rPr>
          <w:rFonts w:hint="eastAsia" w:ascii="宋体" w:hAnsi="宋体"/>
          <w:bCs/>
          <w:sz w:val="36"/>
          <w:szCs w:val="36"/>
        </w:rPr>
        <w:t>八、国有资本经营预算财政拨款支出决算表</w:t>
      </w:r>
    </w:p>
    <w:p>
      <w:pPr>
        <w:spacing w:line="550" w:lineRule="exact"/>
        <w:rPr>
          <w:rFonts w:ascii="宋体" w:hAnsi="宋体"/>
          <w:b/>
          <w:sz w:val="36"/>
          <w:szCs w:val="36"/>
        </w:rPr>
      </w:pPr>
      <w:r>
        <w:rPr>
          <w:rFonts w:hint="eastAsia" w:ascii="宋体" w:hAnsi="宋体"/>
          <w:b/>
          <w:sz w:val="36"/>
          <w:szCs w:val="36"/>
        </w:rPr>
        <w:t>第三部分 马鞍山市博望区人民检察院2022年度部门决算情况说明</w:t>
      </w:r>
    </w:p>
    <w:p>
      <w:pPr>
        <w:spacing w:line="550" w:lineRule="exact"/>
        <w:rPr>
          <w:rFonts w:ascii="宋体" w:hAnsi="宋体"/>
          <w:bCs/>
          <w:sz w:val="36"/>
          <w:szCs w:val="36"/>
        </w:rPr>
      </w:pPr>
      <w:r>
        <w:rPr>
          <w:rFonts w:hint="eastAsia" w:ascii="宋体" w:hAnsi="宋体"/>
          <w:bCs/>
          <w:sz w:val="36"/>
          <w:szCs w:val="36"/>
        </w:rPr>
        <w:t>一、收入支出决算总体情况说明</w:t>
      </w:r>
    </w:p>
    <w:p>
      <w:pPr>
        <w:spacing w:line="550" w:lineRule="exact"/>
        <w:rPr>
          <w:rFonts w:ascii="宋体" w:hAnsi="宋体"/>
          <w:bCs/>
          <w:sz w:val="36"/>
          <w:szCs w:val="36"/>
        </w:rPr>
      </w:pPr>
      <w:r>
        <w:rPr>
          <w:rFonts w:hint="eastAsia" w:ascii="宋体" w:hAnsi="宋体"/>
          <w:bCs/>
          <w:sz w:val="36"/>
          <w:szCs w:val="36"/>
        </w:rPr>
        <w:t>二、收入决算情况说明</w:t>
      </w:r>
    </w:p>
    <w:p>
      <w:pPr>
        <w:spacing w:line="550" w:lineRule="exact"/>
        <w:rPr>
          <w:rFonts w:ascii="宋体" w:hAnsi="宋体"/>
          <w:bCs/>
          <w:sz w:val="36"/>
          <w:szCs w:val="36"/>
        </w:rPr>
      </w:pPr>
      <w:r>
        <w:rPr>
          <w:rFonts w:hint="eastAsia" w:ascii="宋体" w:hAnsi="宋体"/>
          <w:bCs/>
          <w:sz w:val="36"/>
          <w:szCs w:val="36"/>
        </w:rPr>
        <w:t>三、支出决算情况说明</w:t>
      </w:r>
    </w:p>
    <w:p>
      <w:pPr>
        <w:spacing w:line="550" w:lineRule="exact"/>
        <w:rPr>
          <w:rFonts w:ascii="宋体" w:hAnsi="宋体"/>
          <w:bCs/>
          <w:sz w:val="36"/>
          <w:szCs w:val="36"/>
        </w:rPr>
      </w:pPr>
      <w:r>
        <w:rPr>
          <w:rFonts w:hint="eastAsia" w:ascii="宋体" w:hAnsi="宋体"/>
          <w:bCs/>
          <w:sz w:val="36"/>
          <w:szCs w:val="36"/>
        </w:rPr>
        <w:t>四、财政拨款收入支出决算总体情况说明</w:t>
      </w:r>
    </w:p>
    <w:p>
      <w:pPr>
        <w:spacing w:line="550" w:lineRule="exact"/>
        <w:rPr>
          <w:rFonts w:ascii="宋体" w:hAnsi="宋体"/>
          <w:bCs/>
          <w:sz w:val="36"/>
          <w:szCs w:val="36"/>
        </w:rPr>
      </w:pPr>
      <w:r>
        <w:rPr>
          <w:rFonts w:hint="eastAsia" w:ascii="宋体" w:hAnsi="宋体"/>
          <w:bCs/>
          <w:sz w:val="36"/>
          <w:szCs w:val="36"/>
        </w:rPr>
        <w:t>五、一般公共预算财政拨款支出决算情况说明</w:t>
      </w:r>
    </w:p>
    <w:p>
      <w:pPr>
        <w:spacing w:line="550" w:lineRule="exact"/>
        <w:rPr>
          <w:rFonts w:ascii="宋体" w:hAnsi="宋体"/>
          <w:bCs/>
          <w:sz w:val="36"/>
          <w:szCs w:val="36"/>
        </w:rPr>
      </w:pPr>
      <w:r>
        <w:rPr>
          <w:rFonts w:hint="eastAsia" w:ascii="宋体" w:hAnsi="宋体"/>
          <w:bCs/>
          <w:sz w:val="36"/>
          <w:szCs w:val="36"/>
        </w:rPr>
        <w:t>六、一般公共预算财政拨款基本支出决算情况说明</w:t>
      </w:r>
    </w:p>
    <w:p>
      <w:pPr>
        <w:spacing w:line="550" w:lineRule="exact"/>
        <w:rPr>
          <w:rFonts w:ascii="宋体" w:hAnsi="宋体"/>
          <w:bCs/>
          <w:sz w:val="36"/>
          <w:szCs w:val="36"/>
        </w:rPr>
      </w:pPr>
      <w:r>
        <w:rPr>
          <w:rFonts w:hint="eastAsia" w:ascii="宋体" w:hAnsi="宋体"/>
          <w:bCs/>
          <w:sz w:val="36"/>
          <w:szCs w:val="36"/>
        </w:rPr>
        <w:t>七、政府性基金预算财政拨款收入支出决算情况说明</w:t>
      </w:r>
    </w:p>
    <w:p>
      <w:pPr>
        <w:spacing w:line="550" w:lineRule="exact"/>
        <w:rPr>
          <w:rFonts w:ascii="宋体" w:hAnsi="宋体"/>
          <w:bCs/>
          <w:sz w:val="36"/>
          <w:szCs w:val="36"/>
        </w:rPr>
      </w:pPr>
      <w:r>
        <w:rPr>
          <w:rFonts w:hint="eastAsia" w:ascii="宋体" w:hAnsi="宋体"/>
          <w:bCs/>
          <w:sz w:val="36"/>
          <w:szCs w:val="36"/>
        </w:rPr>
        <w:t>八、国有资本经营预算财政拨款支出决算情况说明</w:t>
      </w:r>
    </w:p>
    <w:p>
      <w:pPr>
        <w:spacing w:line="550" w:lineRule="exact"/>
        <w:rPr>
          <w:rFonts w:ascii="宋体" w:hAnsi="宋体"/>
          <w:bCs/>
          <w:sz w:val="36"/>
          <w:szCs w:val="36"/>
        </w:rPr>
      </w:pPr>
      <w:r>
        <w:rPr>
          <w:rFonts w:hint="eastAsia" w:ascii="宋体" w:hAnsi="宋体"/>
          <w:bCs/>
          <w:sz w:val="36"/>
          <w:szCs w:val="36"/>
        </w:rPr>
        <w:t>九、其他重要事项情况说明</w:t>
      </w:r>
    </w:p>
    <w:p>
      <w:pPr>
        <w:spacing w:line="550" w:lineRule="exact"/>
        <w:rPr>
          <w:rFonts w:ascii="宋体" w:hAnsi="宋体"/>
          <w:b/>
          <w:sz w:val="36"/>
          <w:szCs w:val="36"/>
        </w:rPr>
      </w:pPr>
      <w:r>
        <w:rPr>
          <w:rFonts w:hint="eastAsia" w:ascii="宋体" w:hAnsi="宋体"/>
          <w:b/>
          <w:sz w:val="36"/>
          <w:szCs w:val="36"/>
        </w:rPr>
        <w:t>第四部分  名词解释</w:t>
      </w:r>
    </w:p>
    <w:p>
      <w:pPr>
        <w:spacing w:line="550" w:lineRule="exact"/>
        <w:rPr>
          <w:rFonts w:hint="eastAsia" w:ascii="宋体" w:hAnsi="宋体"/>
          <w:bCs/>
          <w:sz w:val="36"/>
          <w:szCs w:val="36"/>
        </w:rPr>
      </w:pPr>
      <w:r>
        <w:rPr>
          <w:rFonts w:hint="eastAsia" w:ascii="宋体" w:hAnsi="宋体"/>
          <w:b/>
          <w:sz w:val="36"/>
          <w:szCs w:val="36"/>
        </w:rPr>
        <w:t>附件：</w:t>
      </w:r>
      <w:r>
        <w:rPr>
          <w:rFonts w:hint="eastAsia" w:ascii="宋体" w:hAnsi="宋体"/>
          <w:bCs/>
          <w:sz w:val="36"/>
          <w:szCs w:val="36"/>
        </w:rPr>
        <w:t>2022年度项目支出绩效自评表及博望区检察院两房基建</w:t>
      </w:r>
      <w:r>
        <w:rPr>
          <w:rFonts w:hint="eastAsia" w:ascii="宋体" w:hAnsi="宋体"/>
          <w:bCs/>
          <w:sz w:val="36"/>
          <w:szCs w:val="36"/>
        </w:rPr>
        <w:t>项目绩效评价报告</w:t>
      </w:r>
    </w:p>
    <w:p>
      <w:pPr>
        <w:spacing w:line="550" w:lineRule="exact"/>
        <w:rPr>
          <w:rFonts w:ascii="宋体" w:hAnsi="宋体"/>
          <w:bCs/>
          <w:sz w:val="36"/>
          <w:szCs w:val="36"/>
        </w:rPr>
      </w:pPr>
    </w:p>
    <w:p>
      <w:pPr>
        <w:rPr>
          <w:rFonts w:ascii="宋体" w:hAnsi="宋体"/>
          <w:b/>
          <w:sz w:val="36"/>
          <w:szCs w:val="36"/>
        </w:rPr>
      </w:pPr>
    </w:p>
    <w:p>
      <w:pPr>
        <w:adjustRightInd w:val="0"/>
        <w:snapToGrid w:val="0"/>
        <w:spacing w:line="360" w:lineRule="auto"/>
        <w:jc w:val="center"/>
        <w:rPr>
          <w:rFonts w:ascii="黑体" w:hAnsi="黑体" w:eastAsia="黑体"/>
          <w:szCs w:val="32"/>
        </w:rPr>
      </w:pPr>
      <w:r>
        <w:rPr>
          <w:rFonts w:hint="eastAsia" w:ascii="宋体" w:hAnsi="宋体"/>
          <w:b/>
          <w:sz w:val="36"/>
          <w:szCs w:val="36"/>
        </w:rPr>
        <w:br w:type="page"/>
      </w:r>
      <w:r>
        <w:rPr>
          <w:rFonts w:hint="eastAsia" w:ascii="黑体" w:hAnsi="黑体" w:eastAsia="黑体"/>
          <w:szCs w:val="32"/>
        </w:rPr>
        <w:t xml:space="preserve">第一部分 </w:t>
      </w:r>
      <w:r>
        <w:rPr>
          <w:rFonts w:hint="eastAsia" w:ascii="宋体" w:hAnsi="宋体"/>
          <w:b/>
          <w:sz w:val="36"/>
          <w:szCs w:val="36"/>
        </w:rPr>
        <w:t>马鞍山市博望区人民检察院</w:t>
      </w:r>
      <w:r>
        <w:rPr>
          <w:rFonts w:hint="eastAsia" w:ascii="黑体" w:hAnsi="黑体" w:eastAsia="黑体"/>
          <w:szCs w:val="32"/>
        </w:rPr>
        <w:t>概况</w:t>
      </w:r>
    </w:p>
    <w:p>
      <w:pPr>
        <w:ind w:firstLine="640" w:firstLineChars="200"/>
        <w:rPr>
          <w:rFonts w:ascii="黑体" w:hAnsi="黑体" w:eastAsia="黑体"/>
          <w:szCs w:val="32"/>
        </w:rPr>
      </w:pPr>
      <w:r>
        <w:rPr>
          <w:rFonts w:hint="eastAsia" w:ascii="黑体" w:hAnsi="黑体" w:eastAsia="黑体"/>
          <w:szCs w:val="32"/>
        </w:rPr>
        <w:t>一、部门职责</w:t>
      </w:r>
    </w:p>
    <w:p>
      <w:pPr>
        <w:pStyle w:val="2"/>
        <w:ind w:firstLine="640" w:firstLineChars="200"/>
        <w:jc w:val="both"/>
        <w:rPr>
          <w:rFonts w:ascii="仿宋_GB2312" w:hAnsi="仿宋" w:eastAsia="仿宋_GB2312"/>
          <w:sz w:val="32"/>
          <w:szCs w:val="32"/>
        </w:rPr>
      </w:pPr>
      <w:r>
        <w:rPr>
          <w:rFonts w:hint="eastAsia" w:ascii="仿宋_GB2312" w:hAnsi="仿宋" w:eastAsia="仿宋_GB2312"/>
          <w:sz w:val="32"/>
          <w:szCs w:val="32"/>
        </w:rPr>
        <w:t>区人民检察院是国家的法律监督机关，主要任务是在区委和上级人民检察院的领导下，依法履行法律监督职能，保证国家法律的统一和正确实施。其主要职权是：（一）依照法律规定对有关刑事案件行使侦查权； （二）对刑事案件进行审查，批准或者决定是否逮捕犯罪嫌疑人； （三）对刑事案件进行审查，决定是否提起公诉，对决定提起公诉的案件支持公诉； （四）依照法律规定提起公益诉讼； （五）对诉讼活动实行法律监督； （六）对判决、裁定等生效法律文书的执行工作实行法律监督； （七）法律规定的其他职权。</w:t>
      </w:r>
    </w:p>
    <w:p>
      <w:pPr>
        <w:ind w:firstLine="640" w:firstLineChars="200"/>
        <w:rPr>
          <w:rFonts w:ascii="黑体" w:hAnsi="黑体" w:eastAsia="黑体"/>
          <w:szCs w:val="32"/>
        </w:rPr>
      </w:pPr>
    </w:p>
    <w:p>
      <w:pPr>
        <w:ind w:firstLine="640" w:firstLineChars="200"/>
        <w:rPr>
          <w:rFonts w:ascii="黑体" w:hAnsi="黑体" w:eastAsia="黑体"/>
          <w:szCs w:val="32"/>
        </w:rPr>
      </w:pPr>
      <w:r>
        <w:rPr>
          <w:rFonts w:hint="eastAsia" w:ascii="黑体" w:hAnsi="黑体" w:eastAsia="黑体"/>
          <w:szCs w:val="32"/>
        </w:rPr>
        <w:t>二、机构设置</w:t>
      </w:r>
    </w:p>
    <w:p>
      <w:pPr>
        <w:ind w:firstLine="640" w:firstLineChars="200"/>
        <w:rPr>
          <w:rFonts w:ascii="仿宋_GB2312" w:hAnsi="黑体"/>
          <w:szCs w:val="32"/>
        </w:rPr>
      </w:pPr>
      <w:r>
        <w:rPr>
          <w:rFonts w:hint="eastAsia" w:ascii="仿宋_GB2312" w:hAnsi="仿宋"/>
          <w:szCs w:val="32"/>
        </w:rPr>
        <w:t>从决算单位构成看，</w:t>
      </w:r>
      <w:r>
        <w:rPr>
          <w:rFonts w:hint="eastAsia" w:ascii="仿宋_GB2312" w:hAnsi="仿宋" w:cs="仿宋"/>
          <w:bCs/>
          <w:szCs w:val="32"/>
        </w:rPr>
        <w:t>马鞍山市博望区人民检察院</w:t>
      </w:r>
      <w:r>
        <w:rPr>
          <w:rFonts w:ascii="仿宋_GB2312" w:hAnsi="仿宋"/>
          <w:szCs w:val="32"/>
        </w:rPr>
        <w:t>202</w:t>
      </w:r>
      <w:r>
        <w:rPr>
          <w:rFonts w:hint="eastAsia" w:ascii="仿宋_GB2312" w:hAnsi="仿宋"/>
          <w:szCs w:val="32"/>
        </w:rPr>
        <w:t>1年度部门决算仅包括单位本级决算，无其他下属单位决算。</w:t>
      </w:r>
    </w:p>
    <w:p>
      <w:pPr>
        <w:ind w:firstLine="640" w:firstLineChars="200"/>
        <w:rPr>
          <w:rFonts w:ascii="黑体" w:hAnsi="黑体" w:eastAsia="黑体"/>
          <w:szCs w:val="32"/>
        </w:rPr>
      </w:pPr>
    </w:p>
    <w:p>
      <w:pPr>
        <w:ind w:firstLine="640" w:firstLineChars="200"/>
        <w:rPr>
          <w:rFonts w:ascii="黑体" w:hAnsi="黑体" w:eastAsia="黑体"/>
          <w:szCs w:val="32"/>
        </w:rPr>
      </w:pPr>
    </w:p>
    <w:p>
      <w:pPr>
        <w:ind w:firstLine="640" w:firstLineChars="200"/>
        <w:rPr>
          <w:rFonts w:ascii="黑体" w:hAnsi="黑体" w:eastAsia="黑体"/>
          <w:szCs w:val="32"/>
        </w:rPr>
      </w:pPr>
    </w:p>
    <w:p>
      <w:pPr>
        <w:ind w:firstLine="640" w:firstLineChars="200"/>
        <w:rPr>
          <w:rFonts w:ascii="黑体" w:hAnsi="黑体" w:eastAsia="黑体"/>
          <w:szCs w:val="32"/>
        </w:rPr>
      </w:pPr>
    </w:p>
    <w:p>
      <w:pPr>
        <w:ind w:firstLine="640" w:firstLineChars="200"/>
        <w:rPr>
          <w:rFonts w:ascii="黑体" w:hAnsi="黑体" w:eastAsia="黑体"/>
          <w:szCs w:val="32"/>
        </w:rPr>
      </w:pPr>
    </w:p>
    <w:p>
      <w:pPr>
        <w:ind w:firstLine="640" w:firstLineChars="200"/>
        <w:rPr>
          <w:rFonts w:ascii="黑体" w:hAnsi="黑体" w:eastAsia="黑体"/>
          <w:szCs w:val="32"/>
        </w:rPr>
      </w:pPr>
    </w:p>
    <w:p>
      <w:pPr>
        <w:ind w:firstLine="640" w:firstLineChars="200"/>
        <w:rPr>
          <w:rFonts w:ascii="黑体" w:hAnsi="黑体" w:eastAsia="黑体"/>
          <w:szCs w:val="32"/>
        </w:rPr>
      </w:pPr>
    </w:p>
    <w:p>
      <w:pPr>
        <w:rPr>
          <w:rFonts w:ascii="黑体" w:hAnsi="黑体" w:eastAsia="黑体"/>
          <w:szCs w:val="32"/>
        </w:rPr>
      </w:pPr>
      <w:r>
        <w:rPr>
          <w:rFonts w:hint="eastAsia" w:ascii="黑体" w:hAnsi="黑体" w:eastAsia="黑体"/>
          <w:szCs w:val="32"/>
        </w:rPr>
        <w:t>第二部分 马鞍山市博望区人民检察院2022年度部门决算表</w:t>
      </w:r>
    </w:p>
    <w:tbl>
      <w:tblPr>
        <w:tblStyle w:val="4"/>
        <w:tblW w:w="9183" w:type="dxa"/>
        <w:tblInd w:w="-130" w:type="dxa"/>
        <w:tblLayout w:type="fixed"/>
        <w:tblCellMar>
          <w:top w:w="0" w:type="dxa"/>
          <w:left w:w="0" w:type="dxa"/>
          <w:bottom w:w="0" w:type="dxa"/>
          <w:right w:w="0" w:type="dxa"/>
        </w:tblCellMar>
      </w:tblPr>
      <w:tblGrid>
        <w:gridCol w:w="3565"/>
        <w:gridCol w:w="275"/>
        <w:gridCol w:w="925"/>
        <w:gridCol w:w="3283"/>
        <w:gridCol w:w="252"/>
        <w:gridCol w:w="883"/>
      </w:tblGrid>
      <w:tr>
        <w:tblPrEx>
          <w:tblCellMar>
            <w:top w:w="0" w:type="dxa"/>
            <w:left w:w="0" w:type="dxa"/>
            <w:bottom w:w="0" w:type="dxa"/>
            <w:right w:w="0" w:type="dxa"/>
          </w:tblCellMar>
        </w:tblPrEx>
        <w:trPr>
          <w:trHeight w:val="384" w:hRule="atLeast"/>
        </w:trPr>
        <w:tc>
          <w:tcPr>
            <w:tcW w:w="9183" w:type="dxa"/>
            <w:gridSpan w:val="6"/>
            <w:tcBorders>
              <w:top w:val="nil"/>
              <w:left w:val="nil"/>
              <w:bottom w:val="nil"/>
              <w:right w:val="nil"/>
            </w:tcBorders>
            <w:tcMar>
              <w:top w:w="12" w:type="dxa"/>
              <w:left w:w="12" w:type="dxa"/>
              <w:right w:w="12" w:type="dxa"/>
            </w:tcMar>
            <w:vAlign w:val="bottom"/>
          </w:tcPr>
          <w:p>
            <w:pPr>
              <w:ind w:firstLine="600" w:firstLineChars="200"/>
              <w:jc w:val="center"/>
              <w:rPr>
                <w:rFonts w:ascii="宋体" w:hAnsi="宋体" w:eastAsia="宋体" w:cs="宋体"/>
                <w:sz w:val="30"/>
                <w:szCs w:val="30"/>
              </w:rPr>
            </w:pPr>
            <w:r>
              <w:rPr>
                <w:rFonts w:hint="eastAsia" w:ascii="宋体" w:hAnsi="宋体" w:eastAsia="宋体" w:cs="宋体"/>
                <w:kern w:val="0"/>
                <w:sz w:val="30"/>
                <w:szCs w:val="30"/>
                <w:lang w:bidi="ar"/>
              </w:rPr>
              <w:t>收入支出决算总表</w:t>
            </w:r>
          </w:p>
        </w:tc>
      </w:tr>
      <w:tr>
        <w:tblPrEx>
          <w:tblCellMar>
            <w:top w:w="0" w:type="dxa"/>
            <w:left w:w="0" w:type="dxa"/>
            <w:bottom w:w="0" w:type="dxa"/>
            <w:right w:w="0" w:type="dxa"/>
          </w:tblCellMar>
        </w:tblPrEx>
        <w:trPr>
          <w:trHeight w:val="264" w:hRule="atLeast"/>
        </w:trPr>
        <w:tc>
          <w:tcPr>
            <w:tcW w:w="3565"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75"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925"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3283"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52"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883" w:type="dxa"/>
            <w:tcBorders>
              <w:top w:val="nil"/>
              <w:left w:val="nil"/>
              <w:bottom w:val="nil"/>
              <w:right w:val="nil"/>
            </w:tcBorders>
            <w:tcMar>
              <w:top w:w="12" w:type="dxa"/>
              <w:left w:w="12" w:type="dxa"/>
              <w:right w:w="12" w:type="dxa"/>
            </w:tcMar>
            <w:vAlign w:val="bottom"/>
          </w:tcPr>
          <w:p>
            <w:pPr>
              <w:widowControl/>
              <w:jc w:val="right"/>
              <w:textAlignment w:val="bottom"/>
              <w:rPr>
                <w:rFonts w:ascii="宋体" w:hAnsi="宋体" w:eastAsia="宋体" w:cs="宋体"/>
                <w:sz w:val="16"/>
                <w:szCs w:val="16"/>
              </w:rPr>
            </w:pPr>
            <w:r>
              <w:rPr>
                <w:rFonts w:hint="eastAsia" w:ascii="宋体" w:hAnsi="宋体" w:eastAsia="宋体" w:cs="宋体"/>
                <w:kern w:val="0"/>
                <w:sz w:val="16"/>
                <w:szCs w:val="16"/>
                <w:lang w:bidi="ar"/>
              </w:rPr>
              <w:t>公开01表</w:t>
            </w:r>
          </w:p>
        </w:tc>
      </w:tr>
      <w:tr>
        <w:tblPrEx>
          <w:tblCellMar>
            <w:top w:w="0" w:type="dxa"/>
            <w:left w:w="0" w:type="dxa"/>
            <w:bottom w:w="0" w:type="dxa"/>
            <w:right w:w="0" w:type="dxa"/>
          </w:tblCellMar>
        </w:tblPrEx>
        <w:trPr>
          <w:trHeight w:val="264" w:hRule="atLeast"/>
        </w:trPr>
        <w:tc>
          <w:tcPr>
            <w:tcW w:w="3565" w:type="dxa"/>
            <w:tcBorders>
              <w:top w:val="nil"/>
              <w:left w:val="nil"/>
              <w:bottom w:val="nil"/>
              <w:right w:val="nil"/>
            </w:tcBorders>
            <w:tcMar>
              <w:top w:w="12" w:type="dxa"/>
              <w:left w:w="12" w:type="dxa"/>
              <w:right w:w="12" w:type="dxa"/>
            </w:tcMar>
            <w:vAlign w:val="bottom"/>
          </w:tcPr>
          <w:p>
            <w:pPr>
              <w:widowControl/>
              <w:jc w:val="left"/>
              <w:textAlignment w:val="bottom"/>
              <w:rPr>
                <w:rFonts w:ascii="宋体" w:hAnsi="宋体" w:eastAsia="宋体" w:cs="宋体"/>
                <w:sz w:val="20"/>
              </w:rPr>
            </w:pPr>
            <w:r>
              <w:rPr>
                <w:rFonts w:hint="eastAsia" w:ascii="宋体" w:hAnsi="宋体" w:eastAsia="宋体" w:cs="宋体"/>
                <w:kern w:val="0"/>
                <w:sz w:val="22"/>
                <w:szCs w:val="22"/>
                <w:lang w:bidi="ar"/>
              </w:rPr>
              <w:t>部门：</w:t>
            </w:r>
          </w:p>
        </w:tc>
        <w:tc>
          <w:tcPr>
            <w:tcW w:w="275"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925"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3283"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135" w:type="dxa"/>
            <w:gridSpan w:val="2"/>
            <w:tcBorders>
              <w:top w:val="nil"/>
              <w:left w:val="nil"/>
              <w:bottom w:val="nil"/>
              <w:right w:val="nil"/>
            </w:tcBorders>
            <w:tcMar>
              <w:top w:w="12" w:type="dxa"/>
              <w:left w:w="12" w:type="dxa"/>
              <w:right w:w="12" w:type="dxa"/>
            </w:tcMar>
            <w:vAlign w:val="bottom"/>
          </w:tcPr>
          <w:p>
            <w:pPr>
              <w:widowControl/>
              <w:jc w:val="right"/>
              <w:textAlignment w:val="bottom"/>
              <w:rPr>
                <w:rFonts w:ascii="宋体" w:hAnsi="宋体" w:eastAsia="宋体" w:cs="宋体"/>
                <w:sz w:val="16"/>
                <w:szCs w:val="16"/>
              </w:rPr>
            </w:pPr>
            <w:r>
              <w:rPr>
                <w:rFonts w:hint="eastAsia" w:ascii="宋体" w:hAnsi="宋体" w:eastAsia="宋体" w:cs="宋体"/>
                <w:kern w:val="0"/>
                <w:sz w:val="16"/>
                <w:szCs w:val="16"/>
                <w:lang w:bidi="ar"/>
              </w:rPr>
              <w:t>金额单位：万元</w:t>
            </w:r>
          </w:p>
        </w:tc>
      </w:tr>
      <w:tr>
        <w:tblPrEx>
          <w:tblCellMar>
            <w:top w:w="0" w:type="dxa"/>
            <w:left w:w="0" w:type="dxa"/>
            <w:bottom w:w="0" w:type="dxa"/>
            <w:right w:w="0" w:type="dxa"/>
          </w:tblCellMar>
        </w:tblPrEx>
        <w:trPr>
          <w:trHeight w:val="235" w:hRule="atLeast"/>
        </w:trPr>
        <w:tc>
          <w:tcPr>
            <w:tcW w:w="4765" w:type="dxa"/>
            <w:gridSpan w:val="3"/>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收入</w:t>
            </w:r>
          </w:p>
        </w:tc>
        <w:tc>
          <w:tcPr>
            <w:tcW w:w="4418" w:type="dxa"/>
            <w:gridSpan w:val="3"/>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支出</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项目</w:t>
            </w: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行次</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金额</w:t>
            </w: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项目</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行次</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金额</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栏次</w:t>
            </w: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1</w:t>
            </w: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栏次</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2</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一、一般公共预算财政拨款收入</w:t>
            </w: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1</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1361.17</w:t>
            </w: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一、一般公共服务支出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35</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1.96</w:t>
            </w:r>
          </w:p>
        </w:tc>
      </w:tr>
      <w:tr>
        <w:tblPrEx>
          <w:tblCellMar>
            <w:top w:w="0" w:type="dxa"/>
            <w:left w:w="0" w:type="dxa"/>
            <w:bottom w:w="0" w:type="dxa"/>
            <w:right w:w="0" w:type="dxa"/>
          </w:tblCellMar>
        </w:tblPrEx>
        <w:trPr>
          <w:trHeight w:val="294"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二、政府性基金预算财政拨款收入</w:t>
            </w: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2</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二、外交支出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36</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三、国有资本经营预算财政拨款收入</w:t>
            </w: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3</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三、国防支出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37</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四、上级补助收入</w:t>
            </w: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4</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四、公共安全支出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38</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909.17</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五、事业收入</w:t>
            </w: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5</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五、教育支出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39</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六、经营收入</w:t>
            </w: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6</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六、科学技术支出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40</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七、附属单位上缴收入</w:t>
            </w: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7</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七、文化旅游体育与传媒支出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41</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八、其他收入</w:t>
            </w: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8</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八、社会保障和就业支出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42</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41.29</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9</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九、卫生健康支出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43</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15.12</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10</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十、节能环保支出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44</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304"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11</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十一、城乡社区支出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45</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314.75</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12</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十二、农林水支出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46</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13</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十三、交通运输支出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47</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14</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十四、资源勘探工业信息等支出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48</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15</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十五、商业服务业等支出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49</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16</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十六、金融支出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50</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17</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十七、援助其他地区支出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51</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18</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十八、自然资源海洋气象等支出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52</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19</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十九、住房保障支出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53</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78.86</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20</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二十、粮油物资储备支出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54</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21</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二十一、国有资本经营预算支出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55</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22</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二十二、灾害防治及应急管理支出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56</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23</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二十三、其他支出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57</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b/>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24</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二十四、债务还本支出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58</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25</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二十五、债务付息支出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59</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26</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二十六、抗疫特别国债安排的支出</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60</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b/>
                <w:sz w:val="22"/>
                <w:szCs w:val="22"/>
              </w:rPr>
            </w:pPr>
            <w:r>
              <w:rPr>
                <w:rFonts w:hint="eastAsia" w:ascii="宋体" w:hAnsi="宋体" w:eastAsia="宋体" w:cs="宋体"/>
                <w:b/>
                <w:kern w:val="0"/>
                <w:sz w:val="22"/>
                <w:szCs w:val="22"/>
                <w:lang w:bidi="ar"/>
              </w:rPr>
              <w:t>本年收入合计</w:t>
            </w: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27</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1361.17</w:t>
            </w: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b/>
                <w:sz w:val="22"/>
                <w:szCs w:val="22"/>
              </w:rPr>
            </w:pPr>
            <w:r>
              <w:rPr>
                <w:rFonts w:hint="eastAsia" w:ascii="宋体" w:hAnsi="宋体" w:eastAsia="宋体" w:cs="宋体"/>
                <w:b/>
                <w:kern w:val="0"/>
                <w:sz w:val="22"/>
                <w:szCs w:val="22"/>
                <w:lang w:bidi="ar"/>
              </w:rPr>
              <w:t>本年支出合计</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61</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1361.17</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使用非财政拨款结余</w:t>
            </w: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28</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结余分配</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62</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年初结转和结余</w:t>
            </w: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29</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2"/>
                <w:szCs w:val="22"/>
                <w:lang w:bidi="ar"/>
              </w:rPr>
              <w:t>年末结转和结余</w:t>
            </w: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63</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0.00</w:t>
            </w: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30</w:t>
            </w:r>
          </w:p>
        </w:tc>
        <w:tc>
          <w:tcPr>
            <w:tcW w:w="92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p>
        </w:tc>
        <w:tc>
          <w:tcPr>
            <w:tcW w:w="3283" w:type="dxa"/>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2"/>
                <w:szCs w:val="22"/>
              </w:rPr>
            </w:pPr>
          </w:p>
        </w:tc>
        <w:tc>
          <w:tcPr>
            <w:tcW w:w="252"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64</w:t>
            </w:r>
          </w:p>
        </w:tc>
        <w:tc>
          <w:tcPr>
            <w:tcW w:w="883" w:type="dxa"/>
            <w:tcBorders>
              <w:top w:val="nil"/>
              <w:left w:val="nil"/>
              <w:bottom w:val="single" w:color="000000" w:sz="4" w:space="0"/>
              <w:right w:val="single" w:color="000000" w:sz="8" w:space="0"/>
            </w:tcBorders>
            <w:tcMar>
              <w:top w:w="12" w:type="dxa"/>
              <w:left w:w="12" w:type="dxa"/>
              <w:right w:w="12" w:type="dxa"/>
            </w:tcMar>
            <w:vAlign w:val="center"/>
          </w:tcPr>
          <w:p>
            <w:pPr>
              <w:jc w:val="left"/>
              <w:rPr>
                <w:rFonts w:ascii="宋体" w:hAnsi="宋体" w:eastAsia="宋体" w:cs="宋体"/>
                <w:sz w:val="22"/>
                <w:szCs w:val="22"/>
              </w:rPr>
            </w:pPr>
          </w:p>
        </w:tc>
      </w:tr>
      <w:tr>
        <w:tblPrEx>
          <w:tblCellMar>
            <w:top w:w="0" w:type="dxa"/>
            <w:left w:w="0" w:type="dxa"/>
            <w:bottom w:w="0" w:type="dxa"/>
            <w:right w:w="0" w:type="dxa"/>
          </w:tblCellMar>
        </w:tblPrEx>
        <w:trPr>
          <w:trHeight w:val="235" w:hRule="atLeast"/>
        </w:trPr>
        <w:tc>
          <w:tcPr>
            <w:tcW w:w="3565" w:type="dxa"/>
            <w:tcBorders>
              <w:top w:val="nil"/>
              <w:left w:val="single" w:color="000000" w:sz="4" w:space="0"/>
              <w:bottom w:val="single" w:color="000000" w:sz="8"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b/>
                <w:sz w:val="22"/>
                <w:szCs w:val="22"/>
              </w:rPr>
            </w:pPr>
            <w:r>
              <w:rPr>
                <w:rFonts w:hint="eastAsia" w:ascii="宋体" w:hAnsi="宋体" w:eastAsia="宋体" w:cs="宋体"/>
                <w:b/>
                <w:kern w:val="0"/>
                <w:sz w:val="22"/>
                <w:szCs w:val="22"/>
                <w:lang w:bidi="ar"/>
              </w:rPr>
              <w:t>总计</w:t>
            </w:r>
          </w:p>
        </w:tc>
        <w:tc>
          <w:tcPr>
            <w:tcW w:w="275" w:type="dxa"/>
            <w:tcBorders>
              <w:top w:val="nil"/>
              <w:left w:val="nil"/>
              <w:bottom w:val="single" w:color="000000" w:sz="8"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31</w:t>
            </w:r>
          </w:p>
        </w:tc>
        <w:tc>
          <w:tcPr>
            <w:tcW w:w="925" w:type="dxa"/>
            <w:tcBorders>
              <w:top w:val="nil"/>
              <w:left w:val="nil"/>
              <w:bottom w:val="single" w:color="000000" w:sz="8" w:space="0"/>
              <w:right w:val="single" w:color="000000" w:sz="4"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1361.17</w:t>
            </w:r>
          </w:p>
        </w:tc>
        <w:tc>
          <w:tcPr>
            <w:tcW w:w="3283" w:type="dxa"/>
            <w:tcBorders>
              <w:top w:val="nil"/>
              <w:left w:val="nil"/>
              <w:bottom w:val="single" w:color="000000" w:sz="8"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b/>
                <w:sz w:val="22"/>
                <w:szCs w:val="22"/>
              </w:rPr>
            </w:pPr>
            <w:r>
              <w:rPr>
                <w:rFonts w:hint="eastAsia" w:ascii="宋体" w:hAnsi="宋体" w:eastAsia="宋体" w:cs="宋体"/>
                <w:b/>
                <w:kern w:val="0"/>
                <w:sz w:val="22"/>
                <w:szCs w:val="22"/>
                <w:lang w:bidi="ar"/>
              </w:rPr>
              <w:t>总计</w:t>
            </w:r>
          </w:p>
        </w:tc>
        <w:tc>
          <w:tcPr>
            <w:tcW w:w="252" w:type="dxa"/>
            <w:tcBorders>
              <w:top w:val="nil"/>
              <w:left w:val="nil"/>
              <w:bottom w:val="single" w:color="000000" w:sz="8"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65</w:t>
            </w:r>
          </w:p>
        </w:tc>
        <w:tc>
          <w:tcPr>
            <w:tcW w:w="883" w:type="dxa"/>
            <w:tcBorders>
              <w:top w:val="nil"/>
              <w:left w:val="nil"/>
              <w:bottom w:val="single" w:color="000000" w:sz="8" w:space="0"/>
              <w:right w:val="single" w:color="000000" w:sz="8" w:space="0"/>
            </w:tcBorders>
            <w:tcMar>
              <w:top w:w="12" w:type="dxa"/>
              <w:left w:w="12" w:type="dxa"/>
              <w:right w:w="12" w:type="dxa"/>
            </w:tcMar>
            <w:vAlign w:val="center"/>
          </w:tcPr>
          <w:p>
            <w:pPr>
              <w:jc w:val="right"/>
              <w:rPr>
                <w:rFonts w:ascii="宋体" w:hAnsi="宋体" w:eastAsia="宋体" w:cs="宋体"/>
                <w:sz w:val="22"/>
                <w:szCs w:val="22"/>
              </w:rPr>
            </w:pPr>
            <w:r>
              <w:rPr>
                <w:rFonts w:hint="eastAsia" w:ascii="宋体" w:hAnsi="宋体" w:eastAsia="宋体" w:cs="宋体"/>
                <w:sz w:val="22"/>
                <w:szCs w:val="22"/>
              </w:rPr>
              <w:t>1361.17</w:t>
            </w:r>
          </w:p>
        </w:tc>
      </w:tr>
      <w:tr>
        <w:tblPrEx>
          <w:tblCellMar>
            <w:top w:w="0" w:type="dxa"/>
            <w:left w:w="0" w:type="dxa"/>
            <w:bottom w:w="0" w:type="dxa"/>
            <w:right w:w="0" w:type="dxa"/>
          </w:tblCellMar>
        </w:tblPrEx>
        <w:trPr>
          <w:trHeight w:val="235" w:hRule="atLeast"/>
        </w:trPr>
        <w:tc>
          <w:tcPr>
            <w:tcW w:w="9183" w:type="dxa"/>
            <w:gridSpan w:val="6"/>
            <w:tcBorders>
              <w:top w:val="nil"/>
              <w:left w:val="nil"/>
              <w:bottom w:val="nil"/>
              <w:right w:val="nil"/>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0"/>
                <w:lang w:bidi="ar"/>
              </w:rPr>
              <w:t>注：本表反映部门本年度的总收支和年末结转结余情况；本套报表金额单位转换成万元时，因四舍五入可能存在尾数误差。</w:t>
            </w:r>
          </w:p>
        </w:tc>
      </w:tr>
    </w:tbl>
    <w:p>
      <w:pPr>
        <w:rPr>
          <w:rFonts w:ascii="黑体" w:hAnsi="黑体" w:eastAsia="黑体"/>
          <w:szCs w:val="32"/>
        </w:rPr>
      </w:pPr>
    </w:p>
    <w:p>
      <w:pPr>
        <w:ind w:firstLine="640" w:firstLineChars="200"/>
        <w:jc w:val="center"/>
        <w:rPr>
          <w:rFonts w:ascii="黑体" w:hAnsi="黑体" w:eastAsia="黑体"/>
          <w:szCs w:val="32"/>
        </w:rPr>
      </w:pPr>
      <w:r>
        <w:rPr>
          <w:rFonts w:hint="eastAsia" w:ascii="黑体" w:hAnsi="黑体" w:eastAsia="黑体"/>
          <w:szCs w:val="32"/>
        </w:rPr>
        <w:t>收入决算表</w:t>
      </w:r>
    </w:p>
    <w:tbl>
      <w:tblPr>
        <w:tblStyle w:val="4"/>
        <w:tblW w:w="11394" w:type="dxa"/>
        <w:tblInd w:w="0" w:type="dxa"/>
        <w:tblLayout w:type="fixed"/>
        <w:tblCellMar>
          <w:top w:w="0" w:type="dxa"/>
          <w:left w:w="0" w:type="dxa"/>
          <w:bottom w:w="0" w:type="dxa"/>
          <w:right w:w="0" w:type="dxa"/>
        </w:tblCellMar>
      </w:tblPr>
      <w:tblGrid>
        <w:gridCol w:w="400"/>
        <w:gridCol w:w="206"/>
        <w:gridCol w:w="187"/>
        <w:gridCol w:w="77"/>
        <w:gridCol w:w="240"/>
        <w:gridCol w:w="1840"/>
        <w:gridCol w:w="750"/>
        <w:gridCol w:w="830"/>
        <w:gridCol w:w="710"/>
        <w:gridCol w:w="520"/>
        <w:gridCol w:w="75"/>
        <w:gridCol w:w="685"/>
        <w:gridCol w:w="830"/>
        <w:gridCol w:w="880"/>
        <w:gridCol w:w="900"/>
        <w:gridCol w:w="2264"/>
      </w:tblGrid>
      <w:tr>
        <w:tblPrEx>
          <w:tblCellMar>
            <w:top w:w="0" w:type="dxa"/>
            <w:left w:w="0" w:type="dxa"/>
            <w:bottom w:w="0" w:type="dxa"/>
            <w:right w:w="0" w:type="dxa"/>
          </w:tblCellMar>
        </w:tblPrEx>
        <w:trPr>
          <w:gridAfter w:val="1"/>
          <w:wAfter w:w="2264" w:type="dxa"/>
          <w:trHeight w:val="264" w:hRule="atLeast"/>
        </w:trPr>
        <w:tc>
          <w:tcPr>
            <w:tcW w:w="606" w:type="dxa"/>
            <w:gridSpan w:val="2"/>
            <w:tcBorders>
              <w:top w:val="nil"/>
              <w:left w:val="nil"/>
              <w:bottom w:val="nil"/>
              <w:right w:val="nil"/>
            </w:tcBorders>
            <w:tcMar>
              <w:top w:w="12" w:type="dxa"/>
              <w:left w:w="12" w:type="dxa"/>
              <w:right w:w="12" w:type="dxa"/>
            </w:tcMar>
            <w:vAlign w:val="bottom"/>
          </w:tcPr>
          <w:p>
            <w:pPr>
              <w:widowControl/>
              <w:jc w:val="left"/>
              <w:textAlignment w:val="bottom"/>
              <w:rPr>
                <w:rFonts w:ascii="仿宋_GB2312" w:hAnsi="仿宋_GB2312" w:cs="仿宋_GB2312"/>
                <w:bCs/>
                <w:sz w:val="21"/>
                <w:szCs w:val="21"/>
              </w:rPr>
            </w:pPr>
          </w:p>
        </w:tc>
        <w:tc>
          <w:tcPr>
            <w:tcW w:w="264" w:type="dxa"/>
            <w:gridSpan w:val="2"/>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4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84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75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83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71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595" w:type="dxa"/>
            <w:gridSpan w:val="2"/>
            <w:tcBorders>
              <w:top w:val="nil"/>
              <w:left w:val="nil"/>
              <w:bottom w:val="nil"/>
              <w:right w:val="nil"/>
            </w:tcBorders>
            <w:tcMar>
              <w:top w:w="12" w:type="dxa"/>
              <w:left w:w="12" w:type="dxa"/>
              <w:right w:w="12" w:type="dxa"/>
            </w:tcMar>
            <w:vAlign w:val="bottom"/>
          </w:tcPr>
          <w:p>
            <w:pPr>
              <w:rPr>
                <w:rFonts w:ascii="Arial" w:hAnsi="Arial" w:cs="Arial"/>
                <w:sz w:val="20"/>
              </w:rPr>
            </w:pPr>
          </w:p>
        </w:tc>
        <w:tc>
          <w:tcPr>
            <w:tcW w:w="685"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83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88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900" w:type="dxa"/>
            <w:tcBorders>
              <w:top w:val="nil"/>
              <w:left w:val="nil"/>
              <w:bottom w:val="nil"/>
              <w:right w:val="nil"/>
            </w:tcBorders>
            <w:tcMar>
              <w:top w:w="12" w:type="dxa"/>
              <w:left w:w="12" w:type="dxa"/>
              <w:right w:w="12" w:type="dxa"/>
            </w:tcMar>
            <w:vAlign w:val="bottom"/>
          </w:tcPr>
          <w:p>
            <w:pPr>
              <w:widowControl/>
              <w:jc w:val="right"/>
              <w:textAlignment w:val="bottom"/>
              <w:rPr>
                <w:rFonts w:ascii="宋体" w:hAnsi="宋体" w:eastAsia="宋体" w:cs="宋体"/>
                <w:sz w:val="16"/>
                <w:szCs w:val="16"/>
              </w:rPr>
            </w:pPr>
            <w:r>
              <w:rPr>
                <w:rFonts w:hint="eastAsia" w:ascii="宋体" w:hAnsi="宋体" w:eastAsia="宋体" w:cs="宋体"/>
                <w:kern w:val="0"/>
                <w:sz w:val="16"/>
                <w:szCs w:val="16"/>
                <w:lang w:bidi="ar"/>
              </w:rPr>
              <w:t>公开02表</w:t>
            </w:r>
          </w:p>
        </w:tc>
      </w:tr>
      <w:tr>
        <w:tblPrEx>
          <w:tblCellMar>
            <w:top w:w="0" w:type="dxa"/>
            <w:left w:w="0" w:type="dxa"/>
            <w:bottom w:w="0" w:type="dxa"/>
            <w:right w:w="0" w:type="dxa"/>
          </w:tblCellMar>
        </w:tblPrEx>
        <w:trPr>
          <w:gridAfter w:val="1"/>
          <w:wAfter w:w="2264" w:type="dxa"/>
          <w:trHeight w:val="264" w:hRule="atLeast"/>
        </w:trPr>
        <w:tc>
          <w:tcPr>
            <w:tcW w:w="606" w:type="dxa"/>
            <w:gridSpan w:val="2"/>
            <w:tcBorders>
              <w:top w:val="nil"/>
              <w:left w:val="nil"/>
              <w:bottom w:val="nil"/>
              <w:right w:val="nil"/>
            </w:tcBorders>
            <w:tcMar>
              <w:top w:w="12" w:type="dxa"/>
              <w:left w:w="12" w:type="dxa"/>
              <w:right w:w="12" w:type="dxa"/>
            </w:tcMar>
            <w:vAlign w:val="bottom"/>
          </w:tcPr>
          <w:p>
            <w:pPr>
              <w:widowControl/>
              <w:jc w:val="left"/>
              <w:textAlignment w:val="bottom"/>
              <w:rPr>
                <w:rFonts w:ascii="仿宋_GB2312" w:hAnsi="仿宋_GB2312" w:cs="仿宋_GB2312"/>
                <w:bCs/>
                <w:sz w:val="21"/>
                <w:szCs w:val="21"/>
              </w:rPr>
            </w:pPr>
            <w:r>
              <w:rPr>
                <w:rFonts w:hint="eastAsia" w:ascii="宋体" w:hAnsi="宋体" w:eastAsia="宋体" w:cs="宋体"/>
                <w:kern w:val="0"/>
                <w:sz w:val="22"/>
                <w:szCs w:val="22"/>
                <w:lang w:bidi="ar"/>
              </w:rPr>
              <w:t>部门：</w:t>
            </w:r>
          </w:p>
        </w:tc>
        <w:tc>
          <w:tcPr>
            <w:tcW w:w="264" w:type="dxa"/>
            <w:gridSpan w:val="2"/>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4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84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75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83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71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595" w:type="dxa"/>
            <w:gridSpan w:val="2"/>
            <w:tcBorders>
              <w:top w:val="nil"/>
              <w:left w:val="nil"/>
              <w:bottom w:val="nil"/>
              <w:right w:val="nil"/>
            </w:tcBorders>
            <w:tcMar>
              <w:top w:w="12" w:type="dxa"/>
              <w:left w:w="12" w:type="dxa"/>
              <w:right w:w="12" w:type="dxa"/>
            </w:tcMar>
            <w:vAlign w:val="bottom"/>
          </w:tcPr>
          <w:p>
            <w:pPr>
              <w:rPr>
                <w:rFonts w:ascii="Arial" w:hAnsi="Arial" w:cs="Arial"/>
                <w:sz w:val="20"/>
              </w:rPr>
            </w:pPr>
          </w:p>
        </w:tc>
        <w:tc>
          <w:tcPr>
            <w:tcW w:w="685"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83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88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900" w:type="dxa"/>
            <w:tcBorders>
              <w:top w:val="nil"/>
              <w:left w:val="nil"/>
              <w:bottom w:val="nil"/>
              <w:right w:val="nil"/>
            </w:tcBorders>
            <w:tcMar>
              <w:top w:w="12" w:type="dxa"/>
              <w:left w:w="12" w:type="dxa"/>
              <w:right w:w="12" w:type="dxa"/>
            </w:tcMar>
            <w:vAlign w:val="bottom"/>
          </w:tcPr>
          <w:p>
            <w:pPr>
              <w:widowControl/>
              <w:jc w:val="right"/>
              <w:textAlignment w:val="bottom"/>
              <w:rPr>
                <w:rFonts w:ascii="宋体" w:hAnsi="宋体" w:eastAsia="宋体" w:cs="宋体"/>
                <w:sz w:val="16"/>
                <w:szCs w:val="16"/>
              </w:rPr>
            </w:pPr>
            <w:r>
              <w:rPr>
                <w:rFonts w:hint="eastAsia" w:ascii="宋体" w:hAnsi="宋体" w:eastAsia="宋体" w:cs="宋体"/>
                <w:kern w:val="0"/>
                <w:sz w:val="16"/>
                <w:szCs w:val="16"/>
                <w:lang w:bidi="ar"/>
              </w:rPr>
              <w:t>金额单位：万元</w:t>
            </w:r>
          </w:p>
        </w:tc>
      </w:tr>
      <w:tr>
        <w:tblPrEx>
          <w:tblCellMar>
            <w:top w:w="0" w:type="dxa"/>
            <w:left w:w="0" w:type="dxa"/>
            <w:bottom w:w="0" w:type="dxa"/>
            <w:right w:w="0" w:type="dxa"/>
          </w:tblCellMar>
        </w:tblPrEx>
        <w:trPr>
          <w:gridAfter w:val="1"/>
          <w:wAfter w:w="2264" w:type="dxa"/>
          <w:trHeight w:val="235" w:hRule="atLeast"/>
        </w:trPr>
        <w:tc>
          <w:tcPr>
            <w:tcW w:w="1110" w:type="dxa"/>
            <w:gridSpan w:val="5"/>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科目代码</w:t>
            </w:r>
          </w:p>
        </w:tc>
        <w:tc>
          <w:tcPr>
            <w:tcW w:w="1840" w:type="dxa"/>
            <w:vMerge w:val="restart"/>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科目名称</w:t>
            </w:r>
          </w:p>
        </w:tc>
        <w:tc>
          <w:tcPr>
            <w:tcW w:w="750" w:type="dxa"/>
            <w:vMerge w:val="restart"/>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本年收入合计</w:t>
            </w:r>
          </w:p>
        </w:tc>
        <w:tc>
          <w:tcPr>
            <w:tcW w:w="830" w:type="dxa"/>
            <w:vMerge w:val="restart"/>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财政拨款收入</w:t>
            </w:r>
          </w:p>
        </w:tc>
        <w:tc>
          <w:tcPr>
            <w:tcW w:w="710" w:type="dxa"/>
            <w:vMerge w:val="restart"/>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上级补助收入</w:t>
            </w:r>
          </w:p>
        </w:tc>
        <w:tc>
          <w:tcPr>
            <w:tcW w:w="1280" w:type="dxa"/>
            <w:gridSpan w:val="3"/>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事业收入</w:t>
            </w:r>
          </w:p>
        </w:tc>
        <w:tc>
          <w:tcPr>
            <w:tcW w:w="830" w:type="dxa"/>
            <w:vMerge w:val="restart"/>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经营收入</w:t>
            </w:r>
          </w:p>
        </w:tc>
        <w:tc>
          <w:tcPr>
            <w:tcW w:w="880" w:type="dxa"/>
            <w:vMerge w:val="restart"/>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附属单位上缴收入</w:t>
            </w:r>
          </w:p>
        </w:tc>
        <w:tc>
          <w:tcPr>
            <w:tcW w:w="900" w:type="dxa"/>
            <w:vMerge w:val="restart"/>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其他收入</w:t>
            </w:r>
          </w:p>
        </w:tc>
      </w:tr>
      <w:tr>
        <w:tblPrEx>
          <w:tblCellMar>
            <w:top w:w="0" w:type="dxa"/>
            <w:left w:w="0" w:type="dxa"/>
            <w:bottom w:w="0" w:type="dxa"/>
            <w:right w:w="0" w:type="dxa"/>
          </w:tblCellMar>
        </w:tblPrEx>
        <w:trPr>
          <w:gridAfter w:val="1"/>
          <w:wAfter w:w="2264" w:type="dxa"/>
          <w:trHeight w:val="312" w:hRule="atLeast"/>
        </w:trPr>
        <w:tc>
          <w:tcPr>
            <w:tcW w:w="1110" w:type="dxa"/>
            <w:gridSpan w:val="5"/>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84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75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83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71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520" w:type="dxa"/>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小计</w:t>
            </w:r>
          </w:p>
        </w:tc>
        <w:tc>
          <w:tcPr>
            <w:tcW w:w="760" w:type="dxa"/>
            <w:gridSpan w:val="2"/>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其中：教育收费</w:t>
            </w:r>
          </w:p>
        </w:tc>
        <w:tc>
          <w:tcPr>
            <w:tcW w:w="83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88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ind w:right="1363" w:rightChars="426"/>
              <w:jc w:val="center"/>
              <w:rPr>
                <w:rFonts w:ascii="宋体" w:hAnsi="宋体" w:eastAsia="宋体" w:cs="宋体"/>
                <w:sz w:val="20"/>
              </w:rPr>
            </w:pPr>
          </w:p>
        </w:tc>
        <w:tc>
          <w:tcPr>
            <w:tcW w:w="90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r>
      <w:tr>
        <w:tblPrEx>
          <w:tblCellMar>
            <w:top w:w="0" w:type="dxa"/>
            <w:left w:w="0" w:type="dxa"/>
            <w:bottom w:w="0" w:type="dxa"/>
            <w:right w:w="0" w:type="dxa"/>
          </w:tblCellMar>
        </w:tblPrEx>
        <w:trPr>
          <w:gridAfter w:val="1"/>
          <w:wAfter w:w="2264" w:type="dxa"/>
          <w:trHeight w:val="312" w:hRule="atLeast"/>
        </w:trPr>
        <w:tc>
          <w:tcPr>
            <w:tcW w:w="1110" w:type="dxa"/>
            <w:gridSpan w:val="5"/>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84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75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83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71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520"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760" w:type="dxa"/>
            <w:gridSpan w:val="2"/>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83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88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ind w:right="1363" w:rightChars="426"/>
              <w:jc w:val="center"/>
              <w:rPr>
                <w:rFonts w:ascii="宋体" w:hAnsi="宋体" w:eastAsia="宋体" w:cs="宋体"/>
                <w:sz w:val="20"/>
              </w:rPr>
            </w:pPr>
          </w:p>
        </w:tc>
        <w:tc>
          <w:tcPr>
            <w:tcW w:w="90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r>
      <w:tr>
        <w:tblPrEx>
          <w:tblCellMar>
            <w:top w:w="0" w:type="dxa"/>
            <w:left w:w="0" w:type="dxa"/>
            <w:bottom w:w="0" w:type="dxa"/>
            <w:right w:w="0" w:type="dxa"/>
          </w:tblCellMar>
        </w:tblPrEx>
        <w:trPr>
          <w:gridAfter w:val="1"/>
          <w:wAfter w:w="2264" w:type="dxa"/>
          <w:trHeight w:val="312" w:hRule="atLeast"/>
        </w:trPr>
        <w:tc>
          <w:tcPr>
            <w:tcW w:w="1110" w:type="dxa"/>
            <w:gridSpan w:val="5"/>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84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75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83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71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520"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760" w:type="dxa"/>
            <w:gridSpan w:val="2"/>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83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88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ind w:right="1363" w:rightChars="426"/>
              <w:jc w:val="center"/>
              <w:rPr>
                <w:rFonts w:ascii="宋体" w:hAnsi="宋体" w:eastAsia="宋体" w:cs="宋体"/>
                <w:sz w:val="20"/>
              </w:rPr>
            </w:pPr>
          </w:p>
        </w:tc>
        <w:tc>
          <w:tcPr>
            <w:tcW w:w="90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r>
      <w:tr>
        <w:tblPrEx>
          <w:tblCellMar>
            <w:top w:w="0" w:type="dxa"/>
            <w:left w:w="0" w:type="dxa"/>
            <w:bottom w:w="0" w:type="dxa"/>
            <w:right w:w="0" w:type="dxa"/>
          </w:tblCellMar>
        </w:tblPrEx>
        <w:trPr>
          <w:gridAfter w:val="1"/>
          <w:wAfter w:w="2264" w:type="dxa"/>
          <w:trHeight w:val="235" w:hRule="atLeast"/>
        </w:trPr>
        <w:tc>
          <w:tcPr>
            <w:tcW w:w="400" w:type="dxa"/>
            <w:vMerge w:val="restart"/>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类</w:t>
            </w:r>
          </w:p>
        </w:tc>
        <w:tc>
          <w:tcPr>
            <w:tcW w:w="393" w:type="dxa"/>
            <w:gridSpan w:val="2"/>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款</w:t>
            </w:r>
          </w:p>
        </w:tc>
        <w:tc>
          <w:tcPr>
            <w:tcW w:w="317" w:type="dxa"/>
            <w:gridSpan w:val="2"/>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项</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栏次</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1</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2</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3</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4</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5</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kern w:val="0"/>
                <w:sz w:val="20"/>
                <w:lang w:bidi="ar"/>
              </w:rPr>
            </w:pPr>
            <w:r>
              <w:rPr>
                <w:rFonts w:hint="eastAsia" w:ascii="宋体" w:hAnsi="宋体" w:eastAsia="宋体" w:cs="宋体"/>
                <w:kern w:val="0"/>
                <w:sz w:val="20"/>
                <w:lang w:bidi="ar"/>
              </w:rPr>
              <w:t>6</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kern w:val="0"/>
                <w:sz w:val="20"/>
                <w:lang w:bidi="ar"/>
              </w:rPr>
            </w:pPr>
            <w:r>
              <w:rPr>
                <w:rFonts w:hint="eastAsia" w:ascii="宋体" w:hAnsi="宋体" w:eastAsia="宋体" w:cs="宋体"/>
                <w:kern w:val="0"/>
                <w:sz w:val="20"/>
                <w:lang w:bidi="ar"/>
              </w:rPr>
              <w:t>7</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kern w:val="0"/>
                <w:sz w:val="20"/>
                <w:lang w:bidi="ar"/>
              </w:rPr>
            </w:pPr>
            <w:r>
              <w:rPr>
                <w:rFonts w:hint="eastAsia" w:ascii="宋体" w:hAnsi="宋体" w:eastAsia="宋体" w:cs="宋体"/>
                <w:kern w:val="0"/>
                <w:sz w:val="20"/>
                <w:lang w:bidi="ar"/>
              </w:rPr>
              <w:t>8</w:t>
            </w:r>
          </w:p>
        </w:tc>
      </w:tr>
      <w:tr>
        <w:tblPrEx>
          <w:tblCellMar>
            <w:top w:w="0" w:type="dxa"/>
            <w:left w:w="0" w:type="dxa"/>
            <w:bottom w:w="0" w:type="dxa"/>
            <w:right w:w="0" w:type="dxa"/>
          </w:tblCellMar>
        </w:tblPrEx>
        <w:trPr>
          <w:gridAfter w:val="1"/>
          <w:wAfter w:w="2264" w:type="dxa"/>
          <w:trHeight w:val="235" w:hRule="atLeast"/>
        </w:trPr>
        <w:tc>
          <w:tcPr>
            <w:tcW w:w="400" w:type="dxa"/>
            <w:vMerge w:val="continue"/>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393" w:type="dxa"/>
            <w:gridSpan w:val="2"/>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317" w:type="dxa"/>
            <w:gridSpan w:val="2"/>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合计</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b/>
                <w:sz w:val="20"/>
              </w:rPr>
            </w:pPr>
            <w:r>
              <w:rPr>
                <w:rFonts w:hint="eastAsia" w:ascii="宋体" w:hAnsi="宋体" w:eastAsia="宋体" w:cs="宋体"/>
                <w:b/>
                <w:sz w:val="20"/>
              </w:rPr>
              <w:t>1361.17</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b/>
                <w:sz w:val="20"/>
              </w:rPr>
            </w:pPr>
            <w:r>
              <w:rPr>
                <w:rFonts w:hint="eastAsia" w:ascii="宋体" w:hAnsi="宋体" w:eastAsia="宋体" w:cs="宋体"/>
                <w:b/>
                <w:sz w:val="20"/>
              </w:rPr>
              <w:t>1361.17</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b/>
                <w:sz w:val="20"/>
              </w:rPr>
            </w:pPr>
            <w:r>
              <w:rPr>
                <w:rFonts w:hint="eastAsia" w:ascii="宋体" w:hAnsi="宋体" w:eastAsia="宋体" w:cs="宋体"/>
                <w:b/>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b/>
                <w:sz w:val="20"/>
              </w:rPr>
            </w:pPr>
            <w:r>
              <w:rPr>
                <w:rFonts w:hint="eastAsia" w:ascii="宋体" w:hAnsi="宋体" w:eastAsia="宋体" w:cs="宋体"/>
                <w:b/>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b/>
                <w:sz w:val="20"/>
              </w:rPr>
            </w:pPr>
            <w:r>
              <w:rPr>
                <w:rFonts w:hint="eastAsia" w:ascii="宋体" w:hAnsi="宋体" w:eastAsia="宋体" w:cs="宋体"/>
                <w:b/>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b/>
                <w:sz w:val="20"/>
              </w:rPr>
            </w:pPr>
            <w:r>
              <w:rPr>
                <w:rFonts w:hint="eastAsia" w:ascii="宋体" w:hAnsi="宋体" w:eastAsia="宋体" w:cs="宋体"/>
                <w:b/>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b/>
                <w:sz w:val="20"/>
              </w:rPr>
            </w:pPr>
            <w:r>
              <w:rPr>
                <w:rFonts w:hint="eastAsia" w:ascii="宋体" w:hAnsi="宋体" w:eastAsia="宋体" w:cs="宋体"/>
                <w:b/>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b/>
                <w:sz w:val="20"/>
              </w:rPr>
            </w:pPr>
            <w:r>
              <w:rPr>
                <w:rFonts w:hint="eastAsia" w:ascii="宋体" w:hAnsi="宋体" w:eastAsia="宋体" w:cs="宋体"/>
                <w:b/>
                <w:sz w:val="20"/>
              </w:rPr>
              <w:t>0.00</w:t>
            </w:r>
          </w:p>
        </w:tc>
      </w:tr>
      <w:tr>
        <w:tblPrEx>
          <w:tblCellMar>
            <w:top w:w="0" w:type="dxa"/>
            <w:left w:w="0" w:type="dxa"/>
            <w:bottom w:w="0" w:type="dxa"/>
            <w:right w:w="0" w:type="dxa"/>
          </w:tblCellMar>
        </w:tblPrEx>
        <w:trPr>
          <w:gridAfter w:val="1"/>
          <w:wAfter w:w="2264" w:type="dxa"/>
          <w:trHeight w:val="304"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201</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一般公共服务支出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1.96</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1.96</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20106</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财政事务</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1.96</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1.96</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2010699</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其他财政事务支出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1.96</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1.96</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204</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公共安全支出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909.17</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909.17</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20402</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公安</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32.56</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32.56</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2040299</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其他公安支出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32.56</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32.56</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20404</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检察</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871.62</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871.62</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2040401</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行政运行</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475.13</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475.13</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2040402</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一般行政管理事务</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280.73</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280.73</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2040409</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“两房”建设</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115.76</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115.76</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20406</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司法</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5.00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5.00</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2040604</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基层司法业务</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5.00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5.00</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208</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社会保障和就业支出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41.29</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41.29</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20801</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widowControl/>
              <w:spacing w:line="192" w:lineRule="auto"/>
              <w:jc w:val="left"/>
              <w:textAlignment w:val="center"/>
              <w:rPr>
                <w:rFonts w:ascii="宋体" w:hAnsi="宋体" w:eastAsia="宋体" w:cs="宋体"/>
                <w:color w:val="000000"/>
                <w:sz w:val="22"/>
                <w:szCs w:val="22"/>
              </w:rPr>
            </w:pPr>
            <w:r>
              <w:rPr>
                <w:rFonts w:hint="eastAsia" w:ascii="宋体" w:hAnsi="宋体" w:eastAsia="宋体" w:cs="宋体"/>
                <w:sz w:val="20"/>
              </w:rPr>
              <w:t>人力资源和社会保障管理事务</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2.00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2.00</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2080116</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jc w:val="left"/>
              <w:rPr>
                <w:rFonts w:ascii="宋体" w:hAnsi="宋体" w:eastAsia="宋体" w:cs="宋体"/>
                <w:sz w:val="20"/>
              </w:rPr>
            </w:pPr>
            <w:r>
              <w:rPr>
                <w:rFonts w:hint="eastAsia" w:ascii="宋体" w:hAnsi="宋体" w:eastAsia="宋体" w:cs="宋体"/>
                <w:sz w:val="20"/>
              </w:rPr>
              <w:t>引进人才费用</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2.00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2.00</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616"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20805</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jc w:val="left"/>
              <w:rPr>
                <w:rFonts w:ascii="宋体" w:hAnsi="宋体" w:eastAsia="宋体" w:cs="宋体"/>
                <w:sz w:val="20"/>
              </w:rPr>
            </w:pPr>
            <w:r>
              <w:rPr>
                <w:rFonts w:hint="eastAsia" w:ascii="宋体" w:hAnsi="宋体" w:eastAsia="宋体" w:cs="宋体"/>
                <w:sz w:val="20"/>
              </w:rPr>
              <w:t>行政事业单位养老支出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38.82</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38.82</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2080501</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jc w:val="left"/>
              <w:rPr>
                <w:rFonts w:ascii="宋体" w:hAnsi="宋体" w:eastAsia="宋体" w:cs="宋体"/>
                <w:sz w:val="20"/>
              </w:rPr>
            </w:pPr>
            <w:r>
              <w:rPr>
                <w:rFonts w:hint="eastAsia" w:ascii="宋体" w:hAnsi="宋体" w:eastAsia="宋体" w:cs="宋体"/>
                <w:sz w:val="20"/>
              </w:rPr>
              <w:t>行政单位离退休</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0.51</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0.51</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2080502</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jc w:val="left"/>
              <w:rPr>
                <w:rFonts w:ascii="宋体" w:hAnsi="宋体" w:eastAsia="宋体" w:cs="宋体"/>
                <w:sz w:val="20"/>
              </w:rPr>
            </w:pPr>
            <w:r>
              <w:rPr>
                <w:rFonts w:hint="eastAsia" w:ascii="宋体" w:hAnsi="宋体" w:eastAsia="宋体" w:cs="宋体"/>
                <w:sz w:val="20"/>
              </w:rPr>
              <w:t>事业单位离退休</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0.50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0.50</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616"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2080505</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widowControl/>
              <w:spacing w:line="192" w:lineRule="auto"/>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 xml:space="preserve"> </w:t>
            </w:r>
            <w:r>
              <w:rPr>
                <w:rFonts w:hint="eastAsia" w:ascii="宋体" w:hAnsi="宋体" w:eastAsia="宋体" w:cs="宋体"/>
                <w:sz w:val="20"/>
              </w:rPr>
              <w:t xml:space="preserve"> 机关事业单位基本养老保险缴费支出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30.25</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30.25</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2080506</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widowControl/>
              <w:spacing w:line="192" w:lineRule="auto"/>
              <w:jc w:val="left"/>
              <w:textAlignment w:val="center"/>
              <w:rPr>
                <w:rFonts w:ascii="宋体" w:hAnsi="宋体" w:eastAsia="宋体" w:cs="宋体"/>
                <w:color w:val="000000"/>
                <w:sz w:val="22"/>
                <w:szCs w:val="22"/>
              </w:rPr>
            </w:pPr>
            <w:r>
              <w:rPr>
                <w:rFonts w:hint="eastAsia" w:ascii="宋体" w:hAnsi="宋体" w:eastAsia="宋体" w:cs="宋体"/>
                <w:color w:val="000000"/>
                <w:kern w:val="0"/>
                <w:sz w:val="20"/>
                <w:lang w:bidi="ar"/>
              </w:rPr>
              <w:t xml:space="preserve">  机关事业单位职业年金缴费支出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7.56</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7.56</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20899</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jc w:val="left"/>
              <w:rPr>
                <w:rFonts w:ascii="宋体" w:hAnsi="宋体" w:eastAsia="宋体" w:cs="宋体"/>
                <w:sz w:val="20"/>
              </w:rPr>
            </w:pPr>
            <w:r>
              <w:rPr>
                <w:rFonts w:hint="eastAsia" w:ascii="宋体" w:hAnsi="宋体" w:eastAsia="宋体" w:cs="宋体"/>
                <w:sz w:val="20"/>
              </w:rPr>
              <w:t>其他社会保障和就业支出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0.47</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0.47</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2089999</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jc w:val="left"/>
              <w:rPr>
                <w:rFonts w:ascii="宋体" w:hAnsi="宋体" w:eastAsia="宋体" w:cs="宋体"/>
                <w:sz w:val="20"/>
              </w:rPr>
            </w:pPr>
            <w:r>
              <w:rPr>
                <w:rFonts w:hint="eastAsia" w:ascii="宋体" w:hAnsi="宋体" w:eastAsia="宋体" w:cs="宋体"/>
                <w:sz w:val="20"/>
              </w:rPr>
              <w:t xml:space="preserve">  其他社会保障和就业支出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0.47</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0.47</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210</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jc w:val="left"/>
              <w:rPr>
                <w:rFonts w:ascii="宋体" w:hAnsi="宋体" w:eastAsia="宋体" w:cs="宋体"/>
                <w:sz w:val="20"/>
              </w:rPr>
            </w:pPr>
            <w:r>
              <w:rPr>
                <w:rFonts w:hint="eastAsia" w:ascii="宋体" w:hAnsi="宋体" w:eastAsia="宋体" w:cs="宋体"/>
                <w:sz w:val="20"/>
              </w:rPr>
              <w:t>卫生健康支出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15.12</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15.12</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21011</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jc w:val="left"/>
              <w:rPr>
                <w:rFonts w:ascii="宋体" w:hAnsi="宋体" w:eastAsia="宋体" w:cs="宋体"/>
                <w:sz w:val="20"/>
              </w:rPr>
            </w:pPr>
            <w:r>
              <w:rPr>
                <w:rFonts w:hint="eastAsia" w:ascii="宋体" w:hAnsi="宋体" w:eastAsia="宋体" w:cs="宋体"/>
                <w:sz w:val="20"/>
              </w:rPr>
              <w:t>行政事业单位医疗</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15.12</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15.12</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2101101</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jc w:val="left"/>
              <w:rPr>
                <w:rFonts w:ascii="宋体" w:hAnsi="宋体" w:eastAsia="宋体" w:cs="宋体"/>
                <w:sz w:val="20"/>
              </w:rPr>
            </w:pPr>
            <w:r>
              <w:rPr>
                <w:rFonts w:hint="eastAsia" w:ascii="宋体" w:hAnsi="宋体" w:eastAsia="宋体" w:cs="宋体"/>
                <w:sz w:val="20"/>
              </w:rPr>
              <w:t>行政单位医疗</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15.12</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15.12</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212</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jc w:val="left"/>
              <w:rPr>
                <w:rFonts w:ascii="宋体" w:hAnsi="宋体" w:eastAsia="宋体" w:cs="宋体"/>
                <w:sz w:val="20"/>
              </w:rPr>
            </w:pPr>
            <w:r>
              <w:rPr>
                <w:rFonts w:hint="eastAsia" w:ascii="宋体" w:hAnsi="宋体" w:eastAsia="宋体" w:cs="宋体"/>
                <w:sz w:val="20"/>
              </w:rPr>
              <w:t>城乡社区支出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314.75</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314.75</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21201</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jc w:val="left"/>
              <w:rPr>
                <w:rFonts w:ascii="宋体" w:hAnsi="宋体" w:eastAsia="宋体" w:cs="宋体"/>
                <w:sz w:val="20"/>
              </w:rPr>
            </w:pPr>
            <w:r>
              <w:rPr>
                <w:rFonts w:hint="eastAsia" w:ascii="宋体" w:hAnsi="宋体" w:eastAsia="宋体" w:cs="宋体"/>
                <w:sz w:val="20"/>
              </w:rPr>
              <w:t>城乡社区管理事务</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103.20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103.20</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606"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2120199</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 xml:space="preserve">  其他城乡社区管理事务支出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103.20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103.20</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21299</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jc w:val="left"/>
              <w:rPr>
                <w:rFonts w:ascii="宋体" w:hAnsi="宋体" w:eastAsia="宋体" w:cs="宋体"/>
                <w:sz w:val="20"/>
              </w:rPr>
            </w:pPr>
            <w:r>
              <w:rPr>
                <w:rFonts w:hint="eastAsia" w:ascii="宋体" w:hAnsi="宋体" w:eastAsia="宋体" w:cs="宋体"/>
                <w:sz w:val="20"/>
              </w:rPr>
              <w:t>其他城乡社区支出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211.55</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211.55</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2129999</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sz w:val="20"/>
              </w:rPr>
            </w:pPr>
            <w:r>
              <w:rPr>
                <w:rFonts w:hint="eastAsia" w:ascii="宋体" w:hAnsi="宋体" w:eastAsia="宋体" w:cs="宋体"/>
                <w:color w:val="000000"/>
                <w:kern w:val="0"/>
                <w:sz w:val="20"/>
                <w:lang w:bidi="ar"/>
              </w:rPr>
              <w:t xml:space="preserve">  其他城乡社区支出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211.55</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211.55</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221</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jc w:val="left"/>
              <w:rPr>
                <w:rFonts w:ascii="宋体" w:hAnsi="宋体" w:eastAsia="宋体" w:cs="宋体"/>
                <w:sz w:val="20"/>
              </w:rPr>
            </w:pPr>
            <w:r>
              <w:rPr>
                <w:rFonts w:hint="eastAsia" w:ascii="宋体" w:hAnsi="宋体" w:eastAsia="宋体" w:cs="宋体"/>
                <w:sz w:val="20"/>
              </w:rPr>
              <w:t>住房保障支出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78.86</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78.86</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22102</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jc w:val="left"/>
              <w:rPr>
                <w:rFonts w:ascii="宋体" w:hAnsi="宋体" w:eastAsia="宋体" w:cs="宋体"/>
                <w:sz w:val="20"/>
              </w:rPr>
            </w:pPr>
            <w:r>
              <w:rPr>
                <w:rFonts w:hint="eastAsia" w:ascii="宋体" w:hAnsi="宋体" w:eastAsia="宋体" w:cs="宋体"/>
                <w:sz w:val="20"/>
              </w:rPr>
              <w:t>住房改革支出</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78.86</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78.86</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2210201</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ind w:firstLine="200" w:firstLineChars="100"/>
              <w:jc w:val="left"/>
              <w:rPr>
                <w:rFonts w:ascii="宋体" w:hAnsi="宋体" w:eastAsia="宋体" w:cs="宋体"/>
                <w:sz w:val="20"/>
              </w:rPr>
            </w:pPr>
            <w:r>
              <w:rPr>
                <w:rFonts w:hint="eastAsia" w:ascii="宋体" w:hAnsi="宋体" w:eastAsia="宋体" w:cs="宋体"/>
                <w:sz w:val="20"/>
              </w:rPr>
              <w:t>住房公积金</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63.38</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63.38</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gridAfter w:val="1"/>
          <w:wAfter w:w="2264" w:type="dxa"/>
          <w:trHeight w:val="235" w:hRule="atLeast"/>
        </w:trPr>
        <w:tc>
          <w:tcPr>
            <w:tcW w:w="1110" w:type="dxa"/>
            <w:gridSpan w:val="5"/>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20"/>
              </w:rPr>
            </w:pPr>
            <w:r>
              <w:rPr>
                <w:rFonts w:hint="eastAsia" w:ascii="宋体" w:hAnsi="宋体" w:eastAsia="宋体" w:cs="宋体"/>
                <w:sz w:val="20"/>
              </w:rPr>
              <w:t>2210202</w:t>
            </w:r>
          </w:p>
        </w:tc>
        <w:tc>
          <w:tcPr>
            <w:tcW w:w="1840" w:type="dxa"/>
            <w:tcBorders>
              <w:top w:val="nil"/>
              <w:left w:val="nil"/>
              <w:bottom w:val="single" w:color="000000" w:sz="4" w:space="0"/>
              <w:right w:val="single" w:color="000000" w:sz="4" w:space="0"/>
            </w:tcBorders>
            <w:tcMar>
              <w:top w:w="12" w:type="dxa"/>
              <w:left w:w="12" w:type="dxa"/>
              <w:right w:w="12" w:type="dxa"/>
            </w:tcMar>
            <w:vAlign w:val="center"/>
          </w:tcPr>
          <w:p>
            <w:pPr>
              <w:spacing w:line="192" w:lineRule="auto"/>
              <w:ind w:firstLine="200" w:firstLineChars="100"/>
              <w:jc w:val="left"/>
              <w:rPr>
                <w:rFonts w:ascii="宋体" w:hAnsi="宋体" w:eastAsia="宋体" w:cs="宋体"/>
                <w:sz w:val="20"/>
              </w:rPr>
            </w:pPr>
            <w:r>
              <w:rPr>
                <w:rFonts w:hint="eastAsia" w:ascii="宋体" w:hAnsi="宋体" w:eastAsia="宋体" w:cs="宋体"/>
                <w:sz w:val="20"/>
              </w:rPr>
              <w:t>提租补贴</w:t>
            </w:r>
          </w:p>
        </w:tc>
        <w:tc>
          <w:tcPr>
            <w:tcW w:w="75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15.48</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15.48</w:t>
            </w:r>
          </w:p>
        </w:tc>
        <w:tc>
          <w:tcPr>
            <w:tcW w:w="71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52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760"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3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88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c>
          <w:tcPr>
            <w:tcW w:w="900"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20"/>
              </w:rPr>
            </w:pPr>
            <w:r>
              <w:rPr>
                <w:rFonts w:hint="eastAsia" w:ascii="宋体" w:hAnsi="宋体" w:eastAsia="宋体" w:cs="宋体"/>
                <w:sz w:val="20"/>
              </w:rPr>
              <w:t>0.00</w:t>
            </w:r>
          </w:p>
        </w:tc>
      </w:tr>
      <w:tr>
        <w:tblPrEx>
          <w:tblCellMar>
            <w:top w:w="0" w:type="dxa"/>
            <w:left w:w="0" w:type="dxa"/>
            <w:bottom w:w="0" w:type="dxa"/>
            <w:right w:w="0" w:type="dxa"/>
          </w:tblCellMar>
        </w:tblPrEx>
        <w:trPr>
          <w:trHeight w:val="388" w:hRule="atLeast"/>
        </w:trPr>
        <w:tc>
          <w:tcPr>
            <w:tcW w:w="11394" w:type="dxa"/>
            <w:gridSpan w:val="16"/>
            <w:tcBorders>
              <w:top w:val="nil"/>
              <w:left w:val="nil"/>
              <w:bottom w:val="nil"/>
              <w:right w:val="nil"/>
            </w:tcBorders>
            <w:tcMar>
              <w:top w:w="12" w:type="dxa"/>
              <w:left w:w="12" w:type="dxa"/>
              <w:right w:w="12" w:type="dxa"/>
            </w:tcMar>
            <w:vAlign w:val="center"/>
          </w:tcPr>
          <w:p>
            <w:pPr>
              <w:widowControl/>
              <w:jc w:val="left"/>
              <w:textAlignment w:val="center"/>
              <w:rPr>
                <w:rFonts w:ascii="宋体" w:hAnsi="宋体" w:eastAsia="宋体" w:cs="宋体"/>
                <w:kern w:val="0"/>
                <w:sz w:val="20"/>
                <w:lang w:bidi="ar"/>
              </w:rPr>
            </w:pPr>
            <w:r>
              <w:rPr>
                <w:rFonts w:hint="eastAsia" w:ascii="宋体" w:hAnsi="宋体" w:eastAsia="宋体" w:cs="宋体"/>
                <w:kern w:val="0"/>
                <w:sz w:val="20"/>
                <w:lang w:bidi="ar"/>
              </w:rPr>
              <w:t>注：本表反映部门本年度取得的各项收入情况。</w:t>
            </w:r>
          </w:p>
          <w:p>
            <w:pPr>
              <w:widowControl/>
              <w:jc w:val="left"/>
              <w:textAlignment w:val="center"/>
              <w:rPr>
                <w:rFonts w:ascii="宋体" w:hAnsi="宋体" w:eastAsia="宋体" w:cs="宋体"/>
                <w:sz w:val="20"/>
              </w:rPr>
            </w:pPr>
          </w:p>
        </w:tc>
      </w:tr>
    </w:tbl>
    <w:p>
      <w:pPr>
        <w:ind w:firstLine="640" w:firstLineChars="200"/>
        <w:rPr>
          <w:rFonts w:ascii="黑体" w:hAnsi="黑体" w:eastAsia="黑体"/>
          <w:szCs w:val="32"/>
        </w:rPr>
      </w:pPr>
    </w:p>
    <w:p>
      <w:pPr>
        <w:ind w:firstLine="640" w:firstLineChars="200"/>
        <w:rPr>
          <w:rFonts w:ascii="黑体" w:hAnsi="黑体" w:eastAsia="黑体"/>
          <w:szCs w:val="32"/>
        </w:rPr>
      </w:pPr>
      <w:r>
        <w:rPr>
          <w:rFonts w:hint="eastAsia" w:ascii="黑体" w:hAnsi="黑体" w:eastAsia="黑体"/>
          <w:szCs w:val="32"/>
        </w:rPr>
        <w:t xml:space="preserve">              </w:t>
      </w:r>
    </w:p>
    <w:p>
      <w:pPr>
        <w:ind w:firstLine="640" w:firstLineChars="200"/>
        <w:jc w:val="center"/>
        <w:rPr>
          <w:rFonts w:ascii="黑体" w:hAnsi="黑体" w:eastAsia="黑体"/>
          <w:szCs w:val="32"/>
        </w:rPr>
      </w:pPr>
      <w:r>
        <w:rPr>
          <w:rFonts w:hint="eastAsia" w:ascii="黑体" w:hAnsi="黑体" w:eastAsia="黑体"/>
          <w:szCs w:val="32"/>
        </w:rPr>
        <w:t>支出决算表</w:t>
      </w:r>
    </w:p>
    <w:tbl>
      <w:tblPr>
        <w:tblStyle w:val="4"/>
        <w:tblW w:w="9349" w:type="dxa"/>
        <w:tblInd w:w="-192" w:type="dxa"/>
        <w:tblLayout w:type="fixed"/>
        <w:tblCellMar>
          <w:top w:w="0" w:type="dxa"/>
          <w:left w:w="0" w:type="dxa"/>
          <w:bottom w:w="0" w:type="dxa"/>
          <w:right w:w="0" w:type="dxa"/>
        </w:tblCellMar>
      </w:tblPr>
      <w:tblGrid>
        <w:gridCol w:w="442"/>
        <w:gridCol w:w="420"/>
        <w:gridCol w:w="299"/>
        <w:gridCol w:w="240"/>
        <w:gridCol w:w="1771"/>
        <w:gridCol w:w="990"/>
        <w:gridCol w:w="1010"/>
        <w:gridCol w:w="1100"/>
        <w:gridCol w:w="1020"/>
        <w:gridCol w:w="857"/>
        <w:gridCol w:w="1200"/>
      </w:tblGrid>
      <w:tr>
        <w:tblPrEx>
          <w:tblCellMar>
            <w:top w:w="0" w:type="dxa"/>
            <w:left w:w="0" w:type="dxa"/>
            <w:bottom w:w="0" w:type="dxa"/>
            <w:right w:w="0" w:type="dxa"/>
          </w:tblCellMar>
        </w:tblPrEx>
        <w:trPr>
          <w:trHeight w:val="264" w:hRule="atLeast"/>
        </w:trPr>
        <w:tc>
          <w:tcPr>
            <w:tcW w:w="862" w:type="dxa"/>
            <w:gridSpan w:val="2"/>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99"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4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771"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99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01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10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02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857"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200" w:type="dxa"/>
            <w:tcBorders>
              <w:top w:val="nil"/>
              <w:left w:val="nil"/>
              <w:bottom w:val="nil"/>
              <w:right w:val="nil"/>
            </w:tcBorders>
            <w:tcMar>
              <w:top w:w="12" w:type="dxa"/>
              <w:left w:w="12" w:type="dxa"/>
              <w:right w:w="12" w:type="dxa"/>
            </w:tcMar>
            <w:vAlign w:val="bottom"/>
          </w:tcPr>
          <w:p>
            <w:pPr>
              <w:widowControl/>
              <w:jc w:val="right"/>
              <w:textAlignment w:val="bottom"/>
              <w:rPr>
                <w:rFonts w:ascii="宋体" w:hAnsi="宋体" w:eastAsia="宋体" w:cs="宋体"/>
                <w:sz w:val="16"/>
                <w:szCs w:val="16"/>
              </w:rPr>
            </w:pPr>
            <w:r>
              <w:rPr>
                <w:rFonts w:hint="eastAsia" w:ascii="宋体" w:hAnsi="宋体" w:eastAsia="宋体" w:cs="宋体"/>
                <w:kern w:val="0"/>
                <w:sz w:val="16"/>
                <w:szCs w:val="16"/>
                <w:lang w:bidi="ar"/>
              </w:rPr>
              <w:t>公开03表</w:t>
            </w:r>
          </w:p>
        </w:tc>
      </w:tr>
      <w:tr>
        <w:tblPrEx>
          <w:tblCellMar>
            <w:top w:w="0" w:type="dxa"/>
            <w:left w:w="0" w:type="dxa"/>
            <w:bottom w:w="0" w:type="dxa"/>
            <w:right w:w="0" w:type="dxa"/>
          </w:tblCellMar>
        </w:tblPrEx>
        <w:trPr>
          <w:trHeight w:val="264" w:hRule="atLeast"/>
        </w:trPr>
        <w:tc>
          <w:tcPr>
            <w:tcW w:w="862" w:type="dxa"/>
            <w:gridSpan w:val="2"/>
            <w:tcBorders>
              <w:top w:val="nil"/>
              <w:left w:val="nil"/>
              <w:bottom w:val="nil"/>
              <w:right w:val="nil"/>
            </w:tcBorders>
            <w:tcMar>
              <w:top w:w="12" w:type="dxa"/>
              <w:left w:w="12" w:type="dxa"/>
              <w:right w:w="12" w:type="dxa"/>
            </w:tcMar>
            <w:vAlign w:val="bottom"/>
          </w:tcPr>
          <w:p>
            <w:pPr>
              <w:widowControl/>
              <w:jc w:val="left"/>
              <w:textAlignment w:val="bottom"/>
              <w:rPr>
                <w:rFonts w:ascii="宋体" w:hAnsi="宋体" w:eastAsia="宋体" w:cs="宋体"/>
                <w:sz w:val="20"/>
              </w:rPr>
            </w:pPr>
            <w:r>
              <w:rPr>
                <w:rFonts w:hint="eastAsia" w:ascii="宋体" w:hAnsi="宋体" w:eastAsia="宋体" w:cs="宋体"/>
                <w:kern w:val="0"/>
                <w:sz w:val="22"/>
                <w:szCs w:val="22"/>
                <w:lang w:bidi="ar"/>
              </w:rPr>
              <w:t>部门</w:t>
            </w:r>
            <w:r>
              <w:rPr>
                <w:rFonts w:hint="eastAsia" w:ascii="仿宋_GB2312" w:hAnsi="仿宋_GB2312" w:cs="仿宋_GB2312"/>
                <w:bCs/>
                <w:sz w:val="21"/>
                <w:szCs w:val="21"/>
              </w:rPr>
              <w:t>：</w:t>
            </w:r>
          </w:p>
        </w:tc>
        <w:tc>
          <w:tcPr>
            <w:tcW w:w="299"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4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771"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99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01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10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02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857"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200" w:type="dxa"/>
            <w:tcBorders>
              <w:top w:val="nil"/>
              <w:left w:val="nil"/>
              <w:bottom w:val="nil"/>
              <w:right w:val="nil"/>
            </w:tcBorders>
            <w:tcMar>
              <w:top w:w="12" w:type="dxa"/>
              <w:left w:w="12" w:type="dxa"/>
              <w:right w:w="12" w:type="dxa"/>
            </w:tcMar>
            <w:vAlign w:val="bottom"/>
          </w:tcPr>
          <w:p>
            <w:pPr>
              <w:widowControl/>
              <w:jc w:val="right"/>
              <w:textAlignment w:val="bottom"/>
              <w:rPr>
                <w:rFonts w:ascii="宋体" w:hAnsi="宋体" w:eastAsia="宋体" w:cs="宋体"/>
                <w:sz w:val="16"/>
                <w:szCs w:val="16"/>
              </w:rPr>
            </w:pPr>
            <w:r>
              <w:rPr>
                <w:rFonts w:hint="eastAsia" w:ascii="宋体" w:hAnsi="宋体" w:eastAsia="宋体" w:cs="宋体"/>
                <w:kern w:val="0"/>
                <w:sz w:val="16"/>
                <w:szCs w:val="16"/>
                <w:lang w:bidi="ar"/>
              </w:rPr>
              <w:t>金额单位：万元</w:t>
            </w:r>
          </w:p>
        </w:tc>
      </w:tr>
      <w:tr>
        <w:tblPrEx>
          <w:tblCellMar>
            <w:top w:w="0" w:type="dxa"/>
            <w:left w:w="0" w:type="dxa"/>
            <w:bottom w:w="0" w:type="dxa"/>
            <w:right w:w="0" w:type="dxa"/>
          </w:tblCellMar>
        </w:tblPrEx>
        <w:trPr>
          <w:trHeight w:val="312" w:hRule="atLeast"/>
        </w:trPr>
        <w:tc>
          <w:tcPr>
            <w:tcW w:w="1401" w:type="dxa"/>
            <w:gridSpan w:val="4"/>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科目代码</w:t>
            </w:r>
          </w:p>
        </w:tc>
        <w:tc>
          <w:tcPr>
            <w:tcW w:w="1771" w:type="dxa"/>
            <w:vMerge w:val="restart"/>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科目名称</w:t>
            </w:r>
          </w:p>
        </w:tc>
        <w:tc>
          <w:tcPr>
            <w:tcW w:w="990" w:type="dxa"/>
            <w:vMerge w:val="restart"/>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本年支出合计</w:t>
            </w:r>
          </w:p>
        </w:tc>
        <w:tc>
          <w:tcPr>
            <w:tcW w:w="1010" w:type="dxa"/>
            <w:vMerge w:val="restart"/>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基本支出</w:t>
            </w:r>
          </w:p>
        </w:tc>
        <w:tc>
          <w:tcPr>
            <w:tcW w:w="1100" w:type="dxa"/>
            <w:vMerge w:val="restart"/>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项目支出</w:t>
            </w:r>
          </w:p>
        </w:tc>
        <w:tc>
          <w:tcPr>
            <w:tcW w:w="1020" w:type="dxa"/>
            <w:vMerge w:val="restart"/>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上缴上级支出</w:t>
            </w:r>
          </w:p>
        </w:tc>
        <w:tc>
          <w:tcPr>
            <w:tcW w:w="857" w:type="dxa"/>
            <w:vMerge w:val="restart"/>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经营支出</w:t>
            </w:r>
          </w:p>
        </w:tc>
        <w:tc>
          <w:tcPr>
            <w:tcW w:w="1200" w:type="dxa"/>
            <w:vMerge w:val="restart"/>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对附属单位补助支出</w:t>
            </w:r>
          </w:p>
        </w:tc>
      </w:tr>
      <w:tr>
        <w:tblPrEx>
          <w:tblCellMar>
            <w:top w:w="0" w:type="dxa"/>
            <w:left w:w="0" w:type="dxa"/>
            <w:bottom w:w="0" w:type="dxa"/>
            <w:right w:w="0" w:type="dxa"/>
          </w:tblCellMar>
        </w:tblPrEx>
        <w:trPr>
          <w:trHeight w:val="312" w:hRule="atLeast"/>
        </w:trPr>
        <w:tc>
          <w:tcPr>
            <w:tcW w:w="1401" w:type="dxa"/>
            <w:gridSpan w:val="4"/>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771"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99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01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10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02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857"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20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r>
      <w:tr>
        <w:tblPrEx>
          <w:tblCellMar>
            <w:top w:w="0" w:type="dxa"/>
            <w:left w:w="0" w:type="dxa"/>
            <w:bottom w:w="0" w:type="dxa"/>
            <w:right w:w="0" w:type="dxa"/>
          </w:tblCellMar>
        </w:tblPrEx>
        <w:trPr>
          <w:trHeight w:val="312" w:hRule="atLeast"/>
        </w:trPr>
        <w:tc>
          <w:tcPr>
            <w:tcW w:w="1401" w:type="dxa"/>
            <w:gridSpan w:val="4"/>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771"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99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01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10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02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857"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20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r>
      <w:tr>
        <w:tblPrEx>
          <w:tblCellMar>
            <w:top w:w="0" w:type="dxa"/>
            <w:left w:w="0" w:type="dxa"/>
            <w:bottom w:w="0" w:type="dxa"/>
            <w:right w:w="0" w:type="dxa"/>
          </w:tblCellMar>
        </w:tblPrEx>
        <w:trPr>
          <w:trHeight w:val="312" w:hRule="atLeast"/>
        </w:trPr>
        <w:tc>
          <w:tcPr>
            <w:tcW w:w="1401" w:type="dxa"/>
            <w:gridSpan w:val="4"/>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771"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99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01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10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02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857"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20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r>
      <w:tr>
        <w:tblPrEx>
          <w:tblCellMar>
            <w:top w:w="0" w:type="dxa"/>
            <w:left w:w="0" w:type="dxa"/>
            <w:bottom w:w="0" w:type="dxa"/>
            <w:right w:w="0" w:type="dxa"/>
          </w:tblCellMar>
        </w:tblPrEx>
        <w:trPr>
          <w:trHeight w:val="235" w:hRule="atLeast"/>
        </w:trPr>
        <w:tc>
          <w:tcPr>
            <w:tcW w:w="442" w:type="dxa"/>
            <w:vMerge w:val="restart"/>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类</w:t>
            </w:r>
          </w:p>
        </w:tc>
        <w:tc>
          <w:tcPr>
            <w:tcW w:w="420" w:type="dxa"/>
            <w:vMerge w:val="restart"/>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sz w:val="20"/>
              </w:rPr>
            </w:pPr>
            <w:r>
              <w:rPr>
                <w:rFonts w:hint="eastAsia" w:ascii="宋体" w:hAnsi="宋体" w:eastAsia="宋体" w:cs="宋体"/>
                <w:color w:val="000000"/>
                <w:kern w:val="0"/>
                <w:sz w:val="20"/>
                <w:lang w:bidi="ar"/>
              </w:rPr>
              <w:t>款</w:t>
            </w:r>
          </w:p>
        </w:tc>
        <w:tc>
          <w:tcPr>
            <w:tcW w:w="539" w:type="dxa"/>
            <w:gridSpan w:val="2"/>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项</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栏次</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1</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2</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3</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4</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5</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6</w:t>
            </w:r>
          </w:p>
        </w:tc>
      </w:tr>
      <w:tr>
        <w:tblPrEx>
          <w:tblCellMar>
            <w:top w:w="0" w:type="dxa"/>
            <w:left w:w="0" w:type="dxa"/>
            <w:bottom w:w="0" w:type="dxa"/>
            <w:right w:w="0" w:type="dxa"/>
          </w:tblCellMar>
        </w:tblPrEx>
        <w:trPr>
          <w:trHeight w:val="235" w:hRule="atLeast"/>
        </w:trPr>
        <w:tc>
          <w:tcPr>
            <w:tcW w:w="442" w:type="dxa"/>
            <w:vMerge w:val="continue"/>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420" w:type="dxa"/>
            <w:vMerge w:val="continue"/>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center"/>
              <w:rPr>
                <w:sz w:val="20"/>
              </w:rPr>
            </w:pPr>
          </w:p>
        </w:tc>
        <w:tc>
          <w:tcPr>
            <w:tcW w:w="539" w:type="dxa"/>
            <w:gridSpan w:val="2"/>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0"/>
              </w:rPr>
            </w:pP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color w:val="000000"/>
                <w:kern w:val="0"/>
                <w:sz w:val="20"/>
                <w:lang w:bidi="ar"/>
              </w:rPr>
              <w:t>合计</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b/>
                <w:sz w:val="20"/>
              </w:rPr>
            </w:pPr>
            <w:r>
              <w:rPr>
                <w:rFonts w:hint="eastAsia" w:ascii="宋体" w:hAnsi="宋体" w:eastAsia="宋体" w:cs="宋体"/>
                <w:b/>
                <w:bCs/>
                <w:color w:val="000000"/>
                <w:kern w:val="0"/>
                <w:sz w:val="20"/>
                <w:lang w:bidi="ar"/>
              </w:rPr>
              <w:t>1,361.17</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b/>
                <w:sz w:val="20"/>
              </w:rPr>
            </w:pPr>
            <w:r>
              <w:rPr>
                <w:rFonts w:hint="eastAsia" w:ascii="宋体" w:hAnsi="宋体" w:eastAsia="宋体" w:cs="宋体"/>
                <w:b/>
                <w:bCs/>
                <w:color w:val="000000"/>
                <w:kern w:val="0"/>
                <w:sz w:val="20"/>
                <w:lang w:bidi="ar"/>
              </w:rPr>
              <w:t>1,059.84</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b/>
                <w:sz w:val="20"/>
              </w:rPr>
            </w:pPr>
            <w:r>
              <w:rPr>
                <w:rFonts w:hint="eastAsia" w:ascii="宋体" w:hAnsi="宋体" w:eastAsia="宋体" w:cs="宋体"/>
                <w:b/>
                <w:bCs/>
                <w:color w:val="000000"/>
                <w:kern w:val="0"/>
                <w:sz w:val="20"/>
                <w:lang w:bidi="ar"/>
              </w:rPr>
              <w:t>301.33</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b/>
                <w:sz w:val="20"/>
              </w:rPr>
            </w:pPr>
            <w:r>
              <w:rPr>
                <w:rFonts w:hint="eastAsia" w:ascii="宋体" w:hAnsi="宋体" w:eastAsia="宋体" w:cs="宋体"/>
                <w:b/>
                <w:bCs/>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b/>
                <w:sz w:val="20"/>
              </w:rPr>
            </w:pPr>
            <w:r>
              <w:rPr>
                <w:rFonts w:hint="eastAsia" w:ascii="宋体" w:hAnsi="宋体" w:eastAsia="宋体" w:cs="宋体"/>
                <w:b/>
                <w:bCs/>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b/>
                <w:sz w:val="20"/>
              </w:rPr>
            </w:pPr>
            <w:r>
              <w:rPr>
                <w:rFonts w:hint="eastAsia" w:ascii="宋体" w:hAnsi="宋体" w:eastAsia="宋体" w:cs="宋体"/>
                <w:b/>
                <w:bCs/>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201</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一般公共服务支出</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1.96</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1.96</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20106</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财政事务</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1.96</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1.96</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2010699</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 xml:space="preserve"> 其他财政事务支出</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1.96</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1.96</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204</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公共安全支出</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909.17</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624.81</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284.37</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20402</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公安</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32.56</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32.56</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2040299</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 xml:space="preserve"> 其他公安支出</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32.56</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32.56</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20404</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检察</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871.62</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624.81</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246.81</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2040401</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 xml:space="preserve"> 行政运行</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475.13</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475.13</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2040402</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 xml:space="preserve"> 一般行政管理事务</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280.73</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149.68</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131.05</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2040409</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 xml:space="preserve"> “两房”建设</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115.76</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115.76</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20406</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司法</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5.00</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5.00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2040604</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 xml:space="preserve"> 基层司法业务</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5.00</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5.00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208</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社会保障和就业支出</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41.29</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39.29</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2.00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20801</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人力资源和社会保障管理事务</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2.00</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2.00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2080116</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 xml:space="preserve"> 引进人才费用</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2.00</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2.00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20805</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行政事业单位养老支出</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38.82</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38.82</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2080501</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 xml:space="preserve"> 行政单位离退休</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0.51</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0.51</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2080502</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 xml:space="preserve"> 事业单位离退休</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0.50</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0.50</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2080505</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 xml:space="preserve"> 机关事业单位基本养老保险缴费支出</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30.25</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30.25</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2080506</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 xml:space="preserve"> 机关事业单位职业年金缴费支出</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7.56</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7.56</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20899</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其他社会保障和就业支出</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0.47</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0.47</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2089999</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 xml:space="preserve"> 其他社会保障和就业支出</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0.47</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0.47</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210</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卫生健康支出</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15.12</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15.12</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21011</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行政事业单位医疗</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15.12</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15.12</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2101101</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 xml:space="preserve">  行政单位医疗</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15.12</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15.12</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212</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城乡社区支出</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314.75</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301.75</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13.00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21201</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城乡社区管理事务</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103.20</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103.20</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2120199</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 xml:space="preserve"> 其他城乡社区管理事务支出</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103.20</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103.20</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21299</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其他城乡社区支出</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211.55</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198.55</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13.00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1401"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2129999</w:t>
            </w:r>
          </w:p>
        </w:tc>
        <w:tc>
          <w:tcPr>
            <w:tcW w:w="1771"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color w:val="000000"/>
                <w:kern w:val="0"/>
                <w:sz w:val="20"/>
                <w:lang w:bidi="ar"/>
              </w:rPr>
              <w:t xml:space="preserve"> 其他城乡社区支出</w:t>
            </w:r>
          </w:p>
        </w:tc>
        <w:tc>
          <w:tcPr>
            <w:tcW w:w="99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211.55</w:t>
            </w:r>
          </w:p>
        </w:tc>
        <w:tc>
          <w:tcPr>
            <w:tcW w:w="101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198.55</w:t>
            </w:r>
          </w:p>
        </w:tc>
        <w:tc>
          <w:tcPr>
            <w:tcW w:w="11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13.00</w:t>
            </w:r>
          </w:p>
        </w:tc>
        <w:tc>
          <w:tcPr>
            <w:tcW w:w="102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85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c>
          <w:tcPr>
            <w:tcW w:w="1200"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0"/>
              </w:rPr>
            </w:pPr>
            <w:r>
              <w:rPr>
                <w:rFonts w:hint="eastAsia" w:ascii="宋体" w:hAnsi="宋体" w:eastAsia="宋体" w:cs="宋体"/>
                <w:color w:val="000000"/>
                <w:kern w:val="0"/>
                <w:sz w:val="20"/>
                <w:lang w:bidi="ar"/>
              </w:rPr>
              <w:t>0.00</w:t>
            </w:r>
          </w:p>
        </w:tc>
      </w:tr>
      <w:tr>
        <w:tblPrEx>
          <w:tblCellMar>
            <w:top w:w="0" w:type="dxa"/>
            <w:left w:w="0" w:type="dxa"/>
            <w:bottom w:w="0" w:type="dxa"/>
            <w:right w:w="0" w:type="dxa"/>
          </w:tblCellMar>
        </w:tblPrEx>
        <w:trPr>
          <w:trHeight w:val="235" w:hRule="atLeast"/>
        </w:trPr>
        <w:tc>
          <w:tcPr>
            <w:tcW w:w="9349" w:type="dxa"/>
            <w:gridSpan w:val="11"/>
            <w:tcBorders>
              <w:top w:val="nil"/>
              <w:left w:val="nil"/>
              <w:bottom w:val="nil"/>
              <w:right w:val="nil"/>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0"/>
                <w:lang w:bidi="ar"/>
              </w:rPr>
              <w:t>注：本表反映部门本年度各项支出情况。</w:t>
            </w:r>
          </w:p>
        </w:tc>
      </w:tr>
      <w:tr>
        <w:tblPrEx>
          <w:tblCellMar>
            <w:top w:w="0" w:type="dxa"/>
            <w:left w:w="0" w:type="dxa"/>
            <w:bottom w:w="0" w:type="dxa"/>
            <w:right w:w="0" w:type="dxa"/>
          </w:tblCellMar>
        </w:tblPrEx>
        <w:trPr>
          <w:trHeight w:val="235" w:hRule="atLeast"/>
        </w:trPr>
        <w:tc>
          <w:tcPr>
            <w:tcW w:w="9349" w:type="dxa"/>
            <w:gridSpan w:val="11"/>
            <w:tcBorders>
              <w:top w:val="nil"/>
              <w:left w:val="nil"/>
              <w:bottom w:val="nil"/>
              <w:right w:val="nil"/>
            </w:tcBorders>
            <w:tcMar>
              <w:top w:w="12" w:type="dxa"/>
              <w:left w:w="12" w:type="dxa"/>
              <w:right w:w="12" w:type="dxa"/>
            </w:tcMar>
            <w:vAlign w:val="center"/>
          </w:tcPr>
          <w:p>
            <w:pPr>
              <w:widowControl/>
              <w:jc w:val="left"/>
              <w:textAlignment w:val="center"/>
              <w:rPr>
                <w:rFonts w:ascii="宋体" w:hAnsi="宋体" w:eastAsia="宋体" w:cs="宋体"/>
                <w:kern w:val="0"/>
                <w:sz w:val="20"/>
                <w:lang w:bidi="ar"/>
              </w:rPr>
            </w:pPr>
          </w:p>
        </w:tc>
      </w:tr>
    </w:tbl>
    <w:p>
      <w:pPr>
        <w:ind w:firstLine="640" w:firstLineChars="200"/>
        <w:rPr>
          <w:rFonts w:ascii="黑体" w:hAnsi="黑体" w:eastAsia="黑体"/>
          <w:szCs w:val="32"/>
        </w:rPr>
      </w:pPr>
    </w:p>
    <w:p>
      <w:pPr>
        <w:ind w:firstLine="640" w:firstLineChars="200"/>
        <w:rPr>
          <w:rFonts w:ascii="黑体" w:hAnsi="黑体" w:eastAsia="黑体"/>
          <w:szCs w:val="32"/>
        </w:rPr>
      </w:pPr>
    </w:p>
    <w:p>
      <w:pPr>
        <w:ind w:firstLine="640" w:firstLineChars="200"/>
        <w:rPr>
          <w:rFonts w:ascii="黑体" w:hAnsi="黑体" w:eastAsia="黑体"/>
          <w:szCs w:val="32"/>
        </w:rPr>
      </w:pPr>
    </w:p>
    <w:p>
      <w:pPr>
        <w:ind w:firstLine="640" w:firstLineChars="200"/>
        <w:jc w:val="center"/>
        <w:rPr>
          <w:rFonts w:ascii="黑体" w:hAnsi="黑体" w:eastAsia="黑体"/>
          <w:szCs w:val="32"/>
        </w:rPr>
      </w:pPr>
      <w:r>
        <w:rPr>
          <w:rFonts w:hint="eastAsia" w:ascii="黑体" w:hAnsi="黑体" w:eastAsia="黑体"/>
          <w:szCs w:val="32"/>
        </w:rPr>
        <w:t>财政拨款收入支出决算总表</w:t>
      </w:r>
    </w:p>
    <w:tbl>
      <w:tblPr>
        <w:tblStyle w:val="4"/>
        <w:tblW w:w="9020" w:type="dxa"/>
        <w:tblInd w:w="0" w:type="dxa"/>
        <w:tblLayout w:type="fixed"/>
        <w:tblCellMar>
          <w:top w:w="0" w:type="dxa"/>
          <w:left w:w="0" w:type="dxa"/>
          <w:bottom w:w="0" w:type="dxa"/>
          <w:right w:w="0" w:type="dxa"/>
        </w:tblCellMar>
      </w:tblPr>
      <w:tblGrid>
        <w:gridCol w:w="1939"/>
        <w:gridCol w:w="351"/>
        <w:gridCol w:w="675"/>
        <w:gridCol w:w="2618"/>
        <w:gridCol w:w="337"/>
        <w:gridCol w:w="786"/>
        <w:gridCol w:w="787"/>
        <w:gridCol w:w="152"/>
        <w:gridCol w:w="271"/>
        <w:gridCol w:w="382"/>
        <w:gridCol w:w="722"/>
      </w:tblGrid>
      <w:tr>
        <w:tblPrEx>
          <w:tblCellMar>
            <w:top w:w="0" w:type="dxa"/>
            <w:left w:w="0" w:type="dxa"/>
            <w:bottom w:w="0" w:type="dxa"/>
            <w:right w:w="0" w:type="dxa"/>
          </w:tblCellMar>
        </w:tblPrEx>
        <w:trPr>
          <w:trHeight w:val="264" w:hRule="atLeast"/>
        </w:trPr>
        <w:tc>
          <w:tcPr>
            <w:tcW w:w="1939"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351"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675"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618"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337"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786"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939" w:type="dxa"/>
            <w:gridSpan w:val="2"/>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71"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104" w:type="dxa"/>
            <w:gridSpan w:val="2"/>
            <w:tcBorders>
              <w:top w:val="nil"/>
              <w:left w:val="nil"/>
              <w:bottom w:val="nil"/>
              <w:right w:val="nil"/>
            </w:tcBorders>
            <w:tcMar>
              <w:top w:w="12" w:type="dxa"/>
              <w:left w:w="12" w:type="dxa"/>
              <w:right w:w="12" w:type="dxa"/>
            </w:tcMar>
            <w:vAlign w:val="bottom"/>
          </w:tcPr>
          <w:p>
            <w:pPr>
              <w:widowControl/>
              <w:jc w:val="right"/>
              <w:textAlignment w:val="bottom"/>
              <w:rPr>
                <w:rFonts w:ascii="宋体" w:hAnsi="宋体" w:eastAsia="宋体" w:cs="宋体"/>
                <w:sz w:val="16"/>
                <w:szCs w:val="16"/>
              </w:rPr>
            </w:pPr>
            <w:r>
              <w:rPr>
                <w:rFonts w:hint="eastAsia" w:ascii="宋体" w:hAnsi="宋体" w:eastAsia="宋体" w:cs="宋体"/>
                <w:kern w:val="0"/>
                <w:sz w:val="16"/>
                <w:szCs w:val="16"/>
                <w:lang w:bidi="ar"/>
              </w:rPr>
              <w:t>公开04表</w:t>
            </w:r>
          </w:p>
        </w:tc>
      </w:tr>
      <w:tr>
        <w:tblPrEx>
          <w:tblCellMar>
            <w:top w:w="0" w:type="dxa"/>
            <w:left w:w="0" w:type="dxa"/>
            <w:bottom w:w="0" w:type="dxa"/>
            <w:right w:w="0" w:type="dxa"/>
          </w:tblCellMar>
        </w:tblPrEx>
        <w:trPr>
          <w:trHeight w:val="264" w:hRule="atLeast"/>
        </w:trPr>
        <w:tc>
          <w:tcPr>
            <w:tcW w:w="1939" w:type="dxa"/>
            <w:tcBorders>
              <w:top w:val="nil"/>
              <w:left w:val="nil"/>
              <w:bottom w:val="nil"/>
              <w:right w:val="nil"/>
            </w:tcBorders>
            <w:tcMar>
              <w:top w:w="12" w:type="dxa"/>
              <w:left w:w="12" w:type="dxa"/>
              <w:right w:w="12" w:type="dxa"/>
            </w:tcMar>
            <w:vAlign w:val="bottom"/>
          </w:tcPr>
          <w:p>
            <w:pPr>
              <w:widowControl/>
              <w:jc w:val="left"/>
              <w:textAlignment w:val="bottom"/>
              <w:rPr>
                <w:rFonts w:ascii="宋体" w:hAnsi="宋体" w:eastAsia="宋体" w:cs="宋体"/>
                <w:sz w:val="20"/>
              </w:rPr>
            </w:pPr>
            <w:r>
              <w:rPr>
                <w:rFonts w:hint="eastAsia" w:ascii="宋体" w:hAnsi="宋体" w:eastAsia="宋体" w:cs="宋体"/>
                <w:kern w:val="0"/>
                <w:sz w:val="18"/>
                <w:szCs w:val="18"/>
                <w:lang w:bidi="ar"/>
              </w:rPr>
              <w:t>部门：</w:t>
            </w:r>
          </w:p>
        </w:tc>
        <w:tc>
          <w:tcPr>
            <w:tcW w:w="351"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675"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618"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337"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786"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939" w:type="dxa"/>
            <w:gridSpan w:val="2"/>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71"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104" w:type="dxa"/>
            <w:gridSpan w:val="2"/>
            <w:tcBorders>
              <w:top w:val="nil"/>
              <w:left w:val="nil"/>
              <w:bottom w:val="nil"/>
              <w:right w:val="nil"/>
            </w:tcBorders>
            <w:tcMar>
              <w:top w:w="12" w:type="dxa"/>
              <w:left w:w="12" w:type="dxa"/>
              <w:right w:w="12" w:type="dxa"/>
            </w:tcMar>
            <w:vAlign w:val="bottom"/>
          </w:tcPr>
          <w:p>
            <w:pPr>
              <w:widowControl/>
              <w:jc w:val="right"/>
              <w:textAlignment w:val="bottom"/>
              <w:rPr>
                <w:rFonts w:ascii="宋体" w:hAnsi="宋体" w:eastAsia="宋体" w:cs="宋体"/>
                <w:sz w:val="16"/>
                <w:szCs w:val="16"/>
              </w:rPr>
            </w:pPr>
            <w:r>
              <w:rPr>
                <w:rFonts w:hint="eastAsia" w:ascii="宋体" w:hAnsi="宋体" w:eastAsia="宋体" w:cs="宋体"/>
                <w:kern w:val="0"/>
                <w:sz w:val="16"/>
                <w:szCs w:val="16"/>
                <w:lang w:bidi="ar"/>
              </w:rPr>
              <w:t>金额单位：万元</w:t>
            </w:r>
          </w:p>
        </w:tc>
      </w:tr>
      <w:tr>
        <w:tblPrEx>
          <w:tblCellMar>
            <w:top w:w="0" w:type="dxa"/>
            <w:left w:w="0" w:type="dxa"/>
            <w:bottom w:w="0" w:type="dxa"/>
            <w:right w:w="0" w:type="dxa"/>
          </w:tblCellMar>
        </w:tblPrEx>
        <w:trPr>
          <w:trHeight w:val="235" w:hRule="atLeast"/>
        </w:trPr>
        <w:tc>
          <w:tcPr>
            <w:tcW w:w="2965" w:type="dxa"/>
            <w:gridSpan w:val="3"/>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收     入</w:t>
            </w:r>
          </w:p>
        </w:tc>
        <w:tc>
          <w:tcPr>
            <w:tcW w:w="6055" w:type="dxa"/>
            <w:gridSpan w:val="8"/>
            <w:tcBorders>
              <w:top w:val="single" w:color="000000" w:sz="4" w:space="0"/>
              <w:left w:val="nil"/>
              <w:bottom w:val="single" w:color="000000" w:sz="4" w:space="0"/>
              <w:right w:val="single" w:color="000000" w:sz="8"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支     出</w:t>
            </w:r>
          </w:p>
        </w:tc>
      </w:tr>
      <w:tr>
        <w:tblPrEx>
          <w:tblCellMar>
            <w:top w:w="0" w:type="dxa"/>
            <w:left w:w="0" w:type="dxa"/>
            <w:bottom w:w="0" w:type="dxa"/>
            <w:right w:w="0" w:type="dxa"/>
          </w:tblCellMar>
        </w:tblPrEx>
        <w:trPr>
          <w:trHeight w:val="312" w:hRule="atLeast"/>
        </w:trPr>
        <w:tc>
          <w:tcPr>
            <w:tcW w:w="1939" w:type="dxa"/>
            <w:vMerge w:val="restart"/>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项目</w:t>
            </w:r>
          </w:p>
        </w:tc>
        <w:tc>
          <w:tcPr>
            <w:tcW w:w="351" w:type="dxa"/>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行次</w:t>
            </w:r>
          </w:p>
        </w:tc>
        <w:tc>
          <w:tcPr>
            <w:tcW w:w="675" w:type="dxa"/>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金额</w:t>
            </w:r>
          </w:p>
        </w:tc>
        <w:tc>
          <w:tcPr>
            <w:tcW w:w="2618" w:type="dxa"/>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项目</w:t>
            </w:r>
          </w:p>
        </w:tc>
        <w:tc>
          <w:tcPr>
            <w:tcW w:w="337" w:type="dxa"/>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行次</w:t>
            </w:r>
          </w:p>
        </w:tc>
        <w:tc>
          <w:tcPr>
            <w:tcW w:w="786" w:type="dxa"/>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小计</w:t>
            </w:r>
          </w:p>
        </w:tc>
        <w:tc>
          <w:tcPr>
            <w:tcW w:w="787" w:type="dxa"/>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kern w:val="0"/>
                <w:sz w:val="18"/>
                <w:szCs w:val="18"/>
                <w:lang w:bidi="ar"/>
              </w:rPr>
            </w:pPr>
            <w:r>
              <w:rPr>
                <w:rFonts w:hint="eastAsia" w:ascii="宋体" w:hAnsi="宋体" w:eastAsia="宋体" w:cs="宋体"/>
                <w:kern w:val="0"/>
                <w:sz w:val="18"/>
                <w:szCs w:val="18"/>
                <w:lang w:bidi="ar"/>
              </w:rPr>
              <w:t>一般公共预算财政拨款</w:t>
            </w:r>
          </w:p>
        </w:tc>
        <w:tc>
          <w:tcPr>
            <w:tcW w:w="805" w:type="dxa"/>
            <w:gridSpan w:val="3"/>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kern w:val="0"/>
                <w:sz w:val="18"/>
                <w:szCs w:val="18"/>
                <w:lang w:bidi="ar"/>
              </w:rPr>
            </w:pPr>
            <w:r>
              <w:rPr>
                <w:rFonts w:hint="eastAsia" w:ascii="宋体" w:hAnsi="宋体" w:eastAsia="宋体" w:cs="宋体"/>
                <w:kern w:val="0"/>
                <w:sz w:val="18"/>
                <w:szCs w:val="18"/>
                <w:lang w:bidi="ar"/>
              </w:rPr>
              <w:t>政府性基金预算财政拨款</w:t>
            </w:r>
          </w:p>
        </w:tc>
        <w:tc>
          <w:tcPr>
            <w:tcW w:w="722" w:type="dxa"/>
            <w:vMerge w:val="restart"/>
            <w:tcBorders>
              <w:top w:val="nil"/>
              <w:left w:val="nil"/>
              <w:bottom w:val="single" w:color="000000" w:sz="4" w:space="0"/>
              <w:right w:val="single" w:color="000000" w:sz="8" w:space="0"/>
            </w:tcBorders>
            <w:tcMar>
              <w:top w:w="12" w:type="dxa"/>
              <w:left w:w="12" w:type="dxa"/>
              <w:right w:w="12" w:type="dxa"/>
            </w:tcMar>
            <w:vAlign w:val="center"/>
          </w:tcPr>
          <w:p>
            <w:pPr>
              <w:widowControl/>
              <w:jc w:val="center"/>
              <w:textAlignment w:val="center"/>
              <w:rPr>
                <w:rFonts w:ascii="宋体" w:hAnsi="宋体" w:eastAsia="宋体" w:cs="宋体"/>
                <w:kern w:val="0"/>
                <w:sz w:val="18"/>
                <w:szCs w:val="18"/>
                <w:lang w:bidi="ar"/>
              </w:rPr>
            </w:pPr>
            <w:r>
              <w:rPr>
                <w:rFonts w:hint="eastAsia" w:ascii="宋体" w:hAnsi="宋体" w:eastAsia="宋体" w:cs="宋体"/>
                <w:kern w:val="0"/>
                <w:sz w:val="18"/>
                <w:szCs w:val="18"/>
                <w:lang w:bidi="ar"/>
              </w:rPr>
              <w:t>国有资本经营预算财政拨款</w:t>
            </w:r>
          </w:p>
        </w:tc>
      </w:tr>
      <w:tr>
        <w:tblPrEx>
          <w:tblCellMar>
            <w:top w:w="0" w:type="dxa"/>
            <w:left w:w="0" w:type="dxa"/>
            <w:bottom w:w="0" w:type="dxa"/>
            <w:right w:w="0" w:type="dxa"/>
          </w:tblCellMar>
        </w:tblPrEx>
        <w:trPr>
          <w:trHeight w:val="1004" w:hRule="atLeast"/>
        </w:trPr>
        <w:tc>
          <w:tcPr>
            <w:tcW w:w="1939" w:type="dxa"/>
            <w:vMerge w:val="continue"/>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18"/>
                <w:szCs w:val="18"/>
              </w:rPr>
            </w:pPr>
          </w:p>
        </w:tc>
        <w:tc>
          <w:tcPr>
            <w:tcW w:w="351"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18"/>
                <w:szCs w:val="18"/>
              </w:rPr>
            </w:pPr>
          </w:p>
        </w:tc>
        <w:tc>
          <w:tcPr>
            <w:tcW w:w="675"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18"/>
                <w:szCs w:val="18"/>
              </w:rPr>
            </w:pPr>
          </w:p>
        </w:tc>
        <w:tc>
          <w:tcPr>
            <w:tcW w:w="2618"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18"/>
                <w:szCs w:val="18"/>
              </w:rPr>
            </w:pPr>
          </w:p>
        </w:tc>
        <w:tc>
          <w:tcPr>
            <w:tcW w:w="337"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18"/>
                <w:szCs w:val="18"/>
              </w:rPr>
            </w:pPr>
          </w:p>
        </w:tc>
        <w:tc>
          <w:tcPr>
            <w:tcW w:w="786"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18"/>
                <w:szCs w:val="18"/>
              </w:rPr>
            </w:pPr>
          </w:p>
        </w:tc>
        <w:tc>
          <w:tcPr>
            <w:tcW w:w="787"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18"/>
                <w:szCs w:val="18"/>
              </w:rPr>
            </w:pPr>
          </w:p>
        </w:tc>
        <w:tc>
          <w:tcPr>
            <w:tcW w:w="805" w:type="dxa"/>
            <w:gridSpan w:val="3"/>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18"/>
                <w:szCs w:val="18"/>
              </w:rPr>
            </w:pPr>
          </w:p>
        </w:tc>
        <w:tc>
          <w:tcPr>
            <w:tcW w:w="722" w:type="dxa"/>
            <w:vMerge w:val="continue"/>
            <w:tcBorders>
              <w:top w:val="nil"/>
              <w:left w:val="nil"/>
              <w:bottom w:val="single" w:color="000000" w:sz="4" w:space="0"/>
              <w:right w:val="single" w:color="000000" w:sz="8" w:space="0"/>
            </w:tcBorders>
            <w:tcMar>
              <w:top w:w="12" w:type="dxa"/>
              <w:left w:w="12" w:type="dxa"/>
              <w:right w:w="12" w:type="dxa"/>
            </w:tcMar>
            <w:vAlign w:val="center"/>
          </w:tcPr>
          <w:p>
            <w:pPr>
              <w:jc w:val="center"/>
              <w:rPr>
                <w:rFonts w:ascii="宋体" w:hAnsi="宋体" w:eastAsia="宋体" w:cs="宋体"/>
                <w:sz w:val="18"/>
                <w:szCs w:val="18"/>
              </w:rPr>
            </w:pP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栏次</w:t>
            </w: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18"/>
                <w:szCs w:val="18"/>
              </w:rPr>
            </w:pP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1</w:t>
            </w: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栏次</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18"/>
                <w:szCs w:val="18"/>
              </w:rPr>
            </w:pP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2</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3</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4</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center"/>
              <w:textAlignment w:val="center"/>
              <w:rPr>
                <w:rFonts w:ascii="宋体" w:hAnsi="宋体" w:eastAsia="宋体" w:cs="宋体"/>
                <w:sz w:val="15"/>
                <w:szCs w:val="15"/>
              </w:rPr>
            </w:pPr>
            <w:r>
              <w:rPr>
                <w:rFonts w:hint="eastAsia" w:ascii="宋体" w:hAnsi="宋体" w:eastAsia="宋体" w:cs="宋体"/>
                <w:kern w:val="0"/>
                <w:sz w:val="15"/>
                <w:szCs w:val="15"/>
                <w:lang w:bidi="ar"/>
              </w:rPr>
              <w:t>5</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5"/>
                <w:szCs w:val="15"/>
              </w:rPr>
            </w:pPr>
            <w:r>
              <w:rPr>
                <w:rFonts w:hint="eastAsia" w:ascii="宋体" w:hAnsi="宋体" w:eastAsia="宋体" w:cs="宋体"/>
                <w:kern w:val="0"/>
                <w:sz w:val="15"/>
                <w:szCs w:val="15"/>
                <w:lang w:bidi="ar"/>
              </w:rPr>
              <w:t>一、一般公共预算财政拨款</w:t>
            </w: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1</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r>
              <w:rPr>
                <w:rFonts w:hint="eastAsia" w:ascii="宋体" w:hAnsi="宋体" w:eastAsia="宋体" w:cs="宋体"/>
                <w:sz w:val="18"/>
                <w:szCs w:val="18"/>
              </w:rPr>
              <w:t>1361.17</w:t>
            </w: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一、一般公共服务支出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30</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1.96</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1.96</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5"/>
                <w:szCs w:val="15"/>
              </w:rPr>
            </w:pPr>
            <w:r>
              <w:rPr>
                <w:rFonts w:hint="eastAsia" w:ascii="宋体" w:hAnsi="宋体" w:eastAsia="宋体" w:cs="宋体"/>
                <w:kern w:val="0"/>
                <w:sz w:val="15"/>
                <w:szCs w:val="15"/>
                <w:lang w:bidi="ar"/>
              </w:rPr>
              <w:t>二、政府性基金预算财政拨款</w:t>
            </w: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2</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r>
              <w:rPr>
                <w:rFonts w:hint="eastAsia" w:ascii="宋体" w:hAnsi="宋体" w:eastAsia="宋体" w:cs="宋体"/>
                <w:sz w:val="18"/>
                <w:szCs w:val="18"/>
              </w:rPr>
              <w:t>0.00</w:t>
            </w: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二、外交支出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31</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5"/>
                <w:szCs w:val="15"/>
              </w:rPr>
            </w:pPr>
            <w:r>
              <w:rPr>
                <w:rFonts w:hint="eastAsia" w:ascii="宋体" w:hAnsi="宋体" w:eastAsia="宋体" w:cs="宋体"/>
                <w:kern w:val="0"/>
                <w:sz w:val="15"/>
                <w:szCs w:val="15"/>
                <w:lang w:bidi="ar"/>
              </w:rPr>
              <w:t>三、国有资本经营预算财政拨款</w:t>
            </w: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3</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r>
              <w:rPr>
                <w:rFonts w:hint="eastAsia" w:ascii="宋体" w:hAnsi="宋体" w:eastAsia="宋体" w:cs="宋体"/>
                <w:sz w:val="18"/>
                <w:szCs w:val="18"/>
              </w:rPr>
              <w:t>0.00</w:t>
            </w: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三、国防支出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32</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4</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四、公共安全支出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33</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909.17</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909.17</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5</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五、教育支出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34</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6</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六、科学技术支出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35</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7</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七、文化旅游体育与传媒支出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36</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8</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八、社会保障和就业支出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37</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41.29</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41.29</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9</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九、卫生健康支出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38</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15.12</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15.12</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10</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十、节能环保支出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39</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11</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十一、城乡社区支出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40</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314.75</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314.75</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12</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十二、农林水支出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41</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13</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十三、交通运输支出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42</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14</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十四、资源勘探工业信息等支出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43</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15</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十五、商业服务业等支出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44</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16</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十六、金融支出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45</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17</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十七、援助其他地区支出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46</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18</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十八、自然资源海洋气象等支出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47</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19</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十九、住房保障支出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48</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78.86</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78.86</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20</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二十、粮油物资储备支出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49</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8"/>
                <w:szCs w:val="18"/>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21</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二十一、国有资本经营预算支出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50</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5"/>
                <w:szCs w:val="15"/>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22</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二十二、灾害防治及应急管理支出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51</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5"/>
                <w:szCs w:val="15"/>
              </w:rPr>
            </w:pP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23</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二十三、其他支出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52</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b/>
                <w:sz w:val="18"/>
                <w:szCs w:val="18"/>
              </w:rPr>
            </w:pPr>
            <w:r>
              <w:rPr>
                <w:rFonts w:hint="eastAsia" w:ascii="宋体" w:hAnsi="宋体" w:eastAsia="宋体" w:cs="宋体"/>
                <w:b/>
                <w:kern w:val="0"/>
                <w:sz w:val="18"/>
                <w:szCs w:val="18"/>
                <w:lang w:bidi="ar"/>
              </w:rPr>
              <w:t>本年收入合计</w:t>
            </w: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24</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r>
              <w:rPr>
                <w:rFonts w:hint="eastAsia" w:ascii="宋体" w:hAnsi="宋体" w:eastAsia="宋体" w:cs="宋体"/>
                <w:sz w:val="18"/>
                <w:szCs w:val="18"/>
              </w:rPr>
              <w:t>1361.17</w:t>
            </w: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二十四、债务还本支出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53</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年初财政拨款结转和结余</w:t>
            </w: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25</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r>
              <w:rPr>
                <w:rFonts w:hint="eastAsia" w:ascii="宋体" w:hAnsi="宋体" w:eastAsia="宋体" w:cs="宋体"/>
                <w:sz w:val="18"/>
                <w:szCs w:val="18"/>
              </w:rPr>
              <w:t>0.00</w:t>
            </w: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二十五、债务付息支出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54</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  一般公共预算财政拨款</w:t>
            </w: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26</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r>
              <w:rPr>
                <w:rFonts w:hint="eastAsia" w:ascii="宋体" w:hAnsi="宋体" w:eastAsia="宋体" w:cs="宋体"/>
                <w:sz w:val="18"/>
                <w:szCs w:val="18"/>
              </w:rPr>
              <w:t>0.00</w:t>
            </w: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二十六、抗疫特别国债安排的支出</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55</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  政府性基金预算财政拨款</w:t>
            </w: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27</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r>
              <w:rPr>
                <w:rFonts w:hint="eastAsia" w:ascii="宋体" w:hAnsi="宋体" w:eastAsia="宋体" w:cs="宋体"/>
                <w:sz w:val="18"/>
                <w:szCs w:val="18"/>
              </w:rPr>
              <w:t>0.00</w:t>
            </w: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b/>
                <w:sz w:val="18"/>
                <w:szCs w:val="18"/>
              </w:rPr>
            </w:pPr>
            <w:r>
              <w:rPr>
                <w:rFonts w:hint="eastAsia" w:ascii="宋体" w:hAnsi="宋体" w:eastAsia="宋体" w:cs="宋体"/>
                <w:b/>
                <w:kern w:val="0"/>
                <w:sz w:val="18"/>
                <w:szCs w:val="18"/>
                <w:lang w:bidi="ar"/>
              </w:rPr>
              <w:t>本年支出合计</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56</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1,361.17</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1,361.17</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 xml:space="preserve">  国有资本经营预算财政拨款</w:t>
            </w:r>
          </w:p>
        </w:tc>
        <w:tc>
          <w:tcPr>
            <w:tcW w:w="351"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28</w:t>
            </w:r>
          </w:p>
        </w:tc>
        <w:tc>
          <w:tcPr>
            <w:tcW w:w="675"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r>
              <w:rPr>
                <w:rFonts w:hint="eastAsia" w:ascii="宋体" w:hAnsi="宋体" w:eastAsia="宋体" w:cs="宋体"/>
                <w:sz w:val="18"/>
                <w:szCs w:val="18"/>
              </w:rPr>
              <w:t>0.00</w:t>
            </w:r>
          </w:p>
        </w:tc>
        <w:tc>
          <w:tcPr>
            <w:tcW w:w="261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18"/>
                <w:szCs w:val="18"/>
                <w:lang w:bidi="ar"/>
              </w:rPr>
              <w:t>年末财政拨款结转和结余</w:t>
            </w:r>
          </w:p>
        </w:tc>
        <w:tc>
          <w:tcPr>
            <w:tcW w:w="337"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57</w:t>
            </w:r>
          </w:p>
        </w:tc>
        <w:tc>
          <w:tcPr>
            <w:tcW w:w="786"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87"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805"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4"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235" w:hRule="atLeast"/>
        </w:trPr>
        <w:tc>
          <w:tcPr>
            <w:tcW w:w="1939" w:type="dxa"/>
            <w:tcBorders>
              <w:top w:val="nil"/>
              <w:left w:val="single" w:color="000000" w:sz="4" w:space="0"/>
              <w:bottom w:val="single" w:color="000000" w:sz="8"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b/>
                <w:sz w:val="18"/>
                <w:szCs w:val="18"/>
              </w:rPr>
            </w:pPr>
            <w:r>
              <w:rPr>
                <w:rFonts w:hint="eastAsia" w:ascii="宋体" w:hAnsi="宋体" w:eastAsia="宋体" w:cs="宋体"/>
                <w:b/>
                <w:kern w:val="0"/>
                <w:sz w:val="18"/>
                <w:szCs w:val="18"/>
                <w:lang w:bidi="ar"/>
              </w:rPr>
              <w:t>总计</w:t>
            </w:r>
          </w:p>
        </w:tc>
        <w:tc>
          <w:tcPr>
            <w:tcW w:w="351" w:type="dxa"/>
            <w:tcBorders>
              <w:top w:val="nil"/>
              <w:left w:val="nil"/>
              <w:bottom w:val="single" w:color="000000" w:sz="8"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29</w:t>
            </w:r>
          </w:p>
        </w:tc>
        <w:tc>
          <w:tcPr>
            <w:tcW w:w="675" w:type="dxa"/>
            <w:tcBorders>
              <w:top w:val="nil"/>
              <w:left w:val="nil"/>
              <w:bottom w:val="single" w:color="000000" w:sz="8"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r>
              <w:rPr>
                <w:rFonts w:hint="eastAsia" w:ascii="宋体" w:hAnsi="宋体" w:eastAsia="宋体" w:cs="宋体"/>
                <w:sz w:val="18"/>
                <w:szCs w:val="18"/>
              </w:rPr>
              <w:t>1361.17</w:t>
            </w:r>
          </w:p>
        </w:tc>
        <w:tc>
          <w:tcPr>
            <w:tcW w:w="2618" w:type="dxa"/>
            <w:tcBorders>
              <w:top w:val="nil"/>
              <w:left w:val="nil"/>
              <w:bottom w:val="single" w:color="000000" w:sz="8"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b/>
                <w:sz w:val="18"/>
                <w:szCs w:val="18"/>
              </w:rPr>
            </w:pPr>
            <w:r>
              <w:rPr>
                <w:rFonts w:hint="eastAsia" w:ascii="宋体" w:hAnsi="宋体" w:eastAsia="宋体" w:cs="宋体"/>
                <w:b/>
                <w:kern w:val="0"/>
                <w:sz w:val="18"/>
                <w:szCs w:val="18"/>
                <w:lang w:bidi="ar"/>
              </w:rPr>
              <w:t>总计</w:t>
            </w:r>
          </w:p>
        </w:tc>
        <w:tc>
          <w:tcPr>
            <w:tcW w:w="337" w:type="dxa"/>
            <w:tcBorders>
              <w:top w:val="nil"/>
              <w:left w:val="nil"/>
              <w:bottom w:val="single" w:color="000000" w:sz="8"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8"/>
                <w:szCs w:val="18"/>
              </w:rPr>
            </w:pPr>
            <w:r>
              <w:rPr>
                <w:rFonts w:hint="eastAsia" w:ascii="宋体" w:hAnsi="宋体" w:eastAsia="宋体" w:cs="宋体"/>
                <w:kern w:val="0"/>
                <w:sz w:val="18"/>
                <w:szCs w:val="18"/>
                <w:lang w:bidi="ar"/>
              </w:rPr>
              <w:t>58</w:t>
            </w:r>
          </w:p>
        </w:tc>
        <w:tc>
          <w:tcPr>
            <w:tcW w:w="786" w:type="dxa"/>
            <w:tcBorders>
              <w:top w:val="nil"/>
              <w:left w:val="nil"/>
              <w:bottom w:val="single" w:color="000000" w:sz="8"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1,361.17</w:t>
            </w:r>
          </w:p>
        </w:tc>
        <w:tc>
          <w:tcPr>
            <w:tcW w:w="787" w:type="dxa"/>
            <w:tcBorders>
              <w:top w:val="nil"/>
              <w:left w:val="nil"/>
              <w:bottom w:val="single" w:color="000000" w:sz="8"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1,361.17</w:t>
            </w:r>
          </w:p>
        </w:tc>
        <w:tc>
          <w:tcPr>
            <w:tcW w:w="805" w:type="dxa"/>
            <w:gridSpan w:val="3"/>
            <w:tcBorders>
              <w:top w:val="nil"/>
              <w:left w:val="nil"/>
              <w:bottom w:val="single" w:color="000000" w:sz="8"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c>
          <w:tcPr>
            <w:tcW w:w="722" w:type="dxa"/>
            <w:tcBorders>
              <w:top w:val="nil"/>
              <w:left w:val="nil"/>
              <w:bottom w:val="single" w:color="000000" w:sz="8" w:space="0"/>
              <w:right w:val="single" w:color="000000" w:sz="8" w:space="0"/>
            </w:tcBorders>
            <w:tcMar>
              <w:top w:w="12" w:type="dxa"/>
              <w:left w:w="12" w:type="dxa"/>
              <w:right w:w="12" w:type="dxa"/>
            </w:tcMar>
            <w:vAlign w:val="center"/>
          </w:tcPr>
          <w:p>
            <w:pPr>
              <w:widowControl/>
              <w:jc w:val="right"/>
              <w:textAlignment w:val="center"/>
              <w:rPr>
                <w:rFonts w:ascii="宋体" w:hAnsi="宋体" w:eastAsia="宋体" w:cs="宋体"/>
                <w:sz w:val="18"/>
                <w:szCs w:val="18"/>
              </w:rPr>
            </w:pPr>
            <w:r>
              <w:rPr>
                <w:rFonts w:hint="eastAsia" w:ascii="宋体" w:hAnsi="宋体" w:eastAsia="宋体" w:cs="宋体"/>
                <w:color w:val="000000"/>
                <w:kern w:val="0"/>
                <w:sz w:val="18"/>
                <w:szCs w:val="18"/>
                <w:lang w:bidi="ar"/>
              </w:rPr>
              <w:t>0.00</w:t>
            </w:r>
          </w:p>
        </w:tc>
      </w:tr>
      <w:tr>
        <w:tblPrEx>
          <w:tblCellMar>
            <w:top w:w="0" w:type="dxa"/>
            <w:left w:w="0" w:type="dxa"/>
            <w:bottom w:w="0" w:type="dxa"/>
            <w:right w:w="0" w:type="dxa"/>
          </w:tblCellMar>
        </w:tblPrEx>
        <w:trPr>
          <w:trHeight w:val="90" w:hRule="atLeast"/>
        </w:trPr>
        <w:tc>
          <w:tcPr>
            <w:tcW w:w="9020" w:type="dxa"/>
            <w:gridSpan w:val="11"/>
            <w:tcBorders>
              <w:top w:val="nil"/>
              <w:left w:val="nil"/>
              <w:bottom w:val="nil"/>
              <w:right w:val="nil"/>
            </w:tcBorders>
            <w:tcMar>
              <w:top w:w="12" w:type="dxa"/>
              <w:left w:w="12" w:type="dxa"/>
              <w:right w:w="12" w:type="dxa"/>
            </w:tcMar>
            <w:vAlign w:val="center"/>
          </w:tcPr>
          <w:p>
            <w:pPr>
              <w:widowControl/>
              <w:jc w:val="left"/>
              <w:textAlignment w:val="center"/>
              <w:rPr>
                <w:rFonts w:ascii="宋体" w:hAnsi="宋体" w:eastAsia="宋体" w:cs="宋体"/>
                <w:sz w:val="18"/>
                <w:szCs w:val="18"/>
              </w:rPr>
            </w:pPr>
            <w:r>
              <w:rPr>
                <w:rFonts w:hint="eastAsia" w:ascii="宋体" w:hAnsi="宋体" w:eastAsia="宋体" w:cs="宋体"/>
                <w:kern w:val="0"/>
                <w:sz w:val="20"/>
                <w:lang w:bidi="ar"/>
              </w:rPr>
              <w:t>注：本表反映部门本年度一般公共预算财政拨款、政府性基金预算财政拨款和国有资本经营预算财政拨款的总收支和年末结转结余情况。</w:t>
            </w:r>
          </w:p>
        </w:tc>
      </w:tr>
    </w:tbl>
    <w:p>
      <w:pPr>
        <w:ind w:firstLine="640" w:firstLineChars="200"/>
        <w:rPr>
          <w:rFonts w:ascii="黑体" w:hAnsi="黑体" w:eastAsia="黑体"/>
          <w:szCs w:val="32"/>
        </w:rPr>
      </w:pPr>
    </w:p>
    <w:p>
      <w:pPr>
        <w:ind w:firstLine="640" w:firstLineChars="200"/>
        <w:rPr>
          <w:rFonts w:ascii="黑体" w:hAnsi="黑体" w:eastAsia="黑体"/>
          <w:szCs w:val="32"/>
        </w:rPr>
      </w:pPr>
    </w:p>
    <w:p>
      <w:pPr>
        <w:ind w:firstLine="640" w:firstLineChars="200"/>
        <w:rPr>
          <w:rFonts w:ascii="黑体" w:hAnsi="黑体" w:eastAsia="黑体"/>
          <w:szCs w:val="32"/>
        </w:rPr>
      </w:pPr>
    </w:p>
    <w:p>
      <w:pPr>
        <w:ind w:firstLine="640" w:firstLineChars="200"/>
        <w:rPr>
          <w:rFonts w:ascii="黑体" w:hAnsi="黑体" w:eastAsia="黑体"/>
          <w:szCs w:val="32"/>
        </w:rPr>
      </w:pPr>
    </w:p>
    <w:p>
      <w:pPr>
        <w:ind w:firstLine="640" w:firstLineChars="200"/>
        <w:rPr>
          <w:rFonts w:ascii="黑体" w:hAnsi="黑体" w:eastAsia="黑体"/>
          <w:szCs w:val="32"/>
        </w:rPr>
      </w:pPr>
    </w:p>
    <w:p>
      <w:pPr>
        <w:rPr>
          <w:rFonts w:ascii="黑体" w:hAnsi="黑体" w:eastAsia="黑体"/>
          <w:szCs w:val="32"/>
        </w:rPr>
      </w:pPr>
    </w:p>
    <w:p>
      <w:pPr>
        <w:ind w:firstLine="640" w:firstLineChars="200"/>
        <w:jc w:val="center"/>
        <w:rPr>
          <w:rFonts w:ascii="黑体" w:hAnsi="黑体" w:eastAsia="黑体"/>
          <w:szCs w:val="32"/>
        </w:rPr>
      </w:pPr>
      <w:r>
        <w:rPr>
          <w:rFonts w:hint="eastAsia" w:ascii="黑体" w:hAnsi="黑体" w:eastAsia="黑体"/>
          <w:szCs w:val="32"/>
        </w:rPr>
        <w:t>一般公共预算财政拨款支出决算表</w:t>
      </w:r>
    </w:p>
    <w:tbl>
      <w:tblPr>
        <w:tblStyle w:val="4"/>
        <w:tblW w:w="8843" w:type="dxa"/>
        <w:tblInd w:w="0" w:type="dxa"/>
        <w:tblLayout w:type="fixed"/>
        <w:tblCellMar>
          <w:top w:w="0" w:type="dxa"/>
          <w:left w:w="0" w:type="dxa"/>
          <w:bottom w:w="0" w:type="dxa"/>
          <w:right w:w="0" w:type="dxa"/>
        </w:tblCellMar>
      </w:tblPr>
      <w:tblGrid>
        <w:gridCol w:w="445"/>
        <w:gridCol w:w="446"/>
        <w:gridCol w:w="96"/>
        <w:gridCol w:w="283"/>
        <w:gridCol w:w="2390"/>
        <w:gridCol w:w="891"/>
        <w:gridCol w:w="501"/>
        <w:gridCol w:w="866"/>
        <w:gridCol w:w="1016"/>
        <w:gridCol w:w="1909"/>
      </w:tblGrid>
      <w:tr>
        <w:tblPrEx>
          <w:tblCellMar>
            <w:top w:w="0" w:type="dxa"/>
            <w:left w:w="0" w:type="dxa"/>
            <w:bottom w:w="0" w:type="dxa"/>
            <w:right w:w="0" w:type="dxa"/>
          </w:tblCellMar>
        </w:tblPrEx>
        <w:trPr>
          <w:trHeight w:val="259" w:hRule="atLeast"/>
        </w:trPr>
        <w:tc>
          <w:tcPr>
            <w:tcW w:w="445"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542" w:type="dxa"/>
            <w:gridSpan w:val="2"/>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83"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39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891"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367" w:type="dxa"/>
            <w:gridSpan w:val="2"/>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925" w:type="dxa"/>
            <w:gridSpan w:val="2"/>
            <w:tcBorders>
              <w:top w:val="nil"/>
              <w:left w:val="nil"/>
              <w:bottom w:val="nil"/>
              <w:right w:val="nil"/>
            </w:tcBorders>
            <w:tcMar>
              <w:top w:w="12" w:type="dxa"/>
              <w:left w:w="12" w:type="dxa"/>
              <w:right w:w="12" w:type="dxa"/>
            </w:tcMar>
            <w:vAlign w:val="bottom"/>
          </w:tcPr>
          <w:p>
            <w:pPr>
              <w:widowControl/>
              <w:jc w:val="right"/>
              <w:textAlignment w:val="bottom"/>
              <w:rPr>
                <w:rFonts w:ascii="宋体" w:hAnsi="宋体" w:eastAsia="宋体" w:cs="宋体"/>
                <w:sz w:val="16"/>
                <w:szCs w:val="16"/>
              </w:rPr>
            </w:pPr>
            <w:r>
              <w:rPr>
                <w:rFonts w:hint="eastAsia" w:ascii="宋体" w:hAnsi="宋体" w:eastAsia="宋体" w:cs="宋体"/>
                <w:kern w:val="0"/>
                <w:sz w:val="16"/>
                <w:szCs w:val="16"/>
                <w:lang w:bidi="ar"/>
              </w:rPr>
              <w:t>公开05表</w:t>
            </w:r>
          </w:p>
        </w:tc>
      </w:tr>
      <w:tr>
        <w:tblPrEx>
          <w:tblCellMar>
            <w:top w:w="0" w:type="dxa"/>
            <w:left w:w="0" w:type="dxa"/>
            <w:bottom w:w="0" w:type="dxa"/>
            <w:right w:w="0" w:type="dxa"/>
          </w:tblCellMar>
        </w:tblPrEx>
        <w:trPr>
          <w:trHeight w:val="259" w:hRule="atLeast"/>
        </w:trPr>
        <w:tc>
          <w:tcPr>
            <w:tcW w:w="987" w:type="dxa"/>
            <w:gridSpan w:val="3"/>
            <w:tcBorders>
              <w:top w:val="nil"/>
              <w:left w:val="nil"/>
              <w:bottom w:val="nil"/>
              <w:right w:val="nil"/>
            </w:tcBorders>
            <w:tcMar>
              <w:top w:w="12" w:type="dxa"/>
              <w:left w:w="12" w:type="dxa"/>
              <w:right w:w="12" w:type="dxa"/>
            </w:tcMar>
            <w:vAlign w:val="bottom"/>
          </w:tcPr>
          <w:p>
            <w:pPr>
              <w:rPr>
                <w:rFonts w:ascii="Arial" w:hAnsi="Arial" w:cs="Arial"/>
                <w:sz w:val="20"/>
              </w:rPr>
            </w:pPr>
            <w:r>
              <w:rPr>
                <w:rFonts w:hint="eastAsia" w:ascii="宋体" w:hAnsi="宋体" w:eastAsia="宋体" w:cs="宋体"/>
                <w:kern w:val="0"/>
                <w:sz w:val="22"/>
                <w:szCs w:val="22"/>
                <w:lang w:bidi="ar"/>
              </w:rPr>
              <w:t>部门：</w:t>
            </w:r>
          </w:p>
        </w:tc>
        <w:tc>
          <w:tcPr>
            <w:tcW w:w="283"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390"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891"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367" w:type="dxa"/>
            <w:gridSpan w:val="2"/>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925" w:type="dxa"/>
            <w:gridSpan w:val="2"/>
            <w:tcBorders>
              <w:top w:val="nil"/>
              <w:left w:val="nil"/>
              <w:bottom w:val="nil"/>
              <w:right w:val="nil"/>
            </w:tcBorders>
            <w:tcMar>
              <w:top w:w="12" w:type="dxa"/>
              <w:left w:w="12" w:type="dxa"/>
              <w:right w:w="12" w:type="dxa"/>
            </w:tcMar>
            <w:vAlign w:val="bottom"/>
          </w:tcPr>
          <w:p>
            <w:pPr>
              <w:widowControl/>
              <w:jc w:val="right"/>
              <w:textAlignment w:val="bottom"/>
              <w:rPr>
                <w:rFonts w:ascii="宋体" w:hAnsi="宋体" w:eastAsia="宋体" w:cs="宋体"/>
                <w:sz w:val="16"/>
                <w:szCs w:val="16"/>
              </w:rPr>
            </w:pPr>
            <w:r>
              <w:rPr>
                <w:rFonts w:hint="eastAsia" w:ascii="宋体" w:hAnsi="宋体" w:eastAsia="宋体" w:cs="宋体"/>
                <w:kern w:val="0"/>
                <w:sz w:val="16"/>
                <w:szCs w:val="16"/>
                <w:lang w:bidi="ar"/>
              </w:rPr>
              <w:t>金额单位：万元</w:t>
            </w:r>
          </w:p>
        </w:tc>
      </w:tr>
      <w:tr>
        <w:tblPrEx>
          <w:tblCellMar>
            <w:top w:w="0" w:type="dxa"/>
            <w:left w:w="0" w:type="dxa"/>
            <w:bottom w:w="0" w:type="dxa"/>
            <w:right w:w="0" w:type="dxa"/>
          </w:tblCellMar>
        </w:tblPrEx>
        <w:trPr>
          <w:trHeight w:val="289" w:hRule="atLeast"/>
        </w:trPr>
        <w:tc>
          <w:tcPr>
            <w:tcW w:w="1270" w:type="dxa"/>
            <w:gridSpan w:val="4"/>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科目代码</w:t>
            </w:r>
          </w:p>
        </w:tc>
        <w:tc>
          <w:tcPr>
            <w:tcW w:w="2390" w:type="dxa"/>
            <w:vMerge w:val="restart"/>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科目名称</w:t>
            </w:r>
          </w:p>
        </w:tc>
        <w:tc>
          <w:tcPr>
            <w:tcW w:w="5183" w:type="dxa"/>
            <w:gridSpan w:val="5"/>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本年支出</w:t>
            </w:r>
          </w:p>
        </w:tc>
      </w:tr>
      <w:tr>
        <w:tblPrEx>
          <w:tblCellMar>
            <w:top w:w="0" w:type="dxa"/>
            <w:left w:w="0" w:type="dxa"/>
            <w:bottom w:w="0" w:type="dxa"/>
            <w:right w:w="0" w:type="dxa"/>
          </w:tblCellMar>
        </w:tblPrEx>
        <w:trPr>
          <w:trHeight w:val="312" w:hRule="atLeast"/>
        </w:trPr>
        <w:tc>
          <w:tcPr>
            <w:tcW w:w="1270" w:type="dxa"/>
            <w:gridSpan w:val="4"/>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239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1392" w:type="dxa"/>
            <w:gridSpan w:val="2"/>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合计</w:t>
            </w:r>
          </w:p>
        </w:tc>
        <w:tc>
          <w:tcPr>
            <w:tcW w:w="1882" w:type="dxa"/>
            <w:gridSpan w:val="2"/>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基本支出</w:t>
            </w:r>
          </w:p>
        </w:tc>
        <w:tc>
          <w:tcPr>
            <w:tcW w:w="1909" w:type="dxa"/>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项目支出</w:t>
            </w:r>
          </w:p>
        </w:tc>
      </w:tr>
      <w:tr>
        <w:tblPrEx>
          <w:tblCellMar>
            <w:top w:w="0" w:type="dxa"/>
            <w:left w:w="0" w:type="dxa"/>
            <w:bottom w:w="0" w:type="dxa"/>
            <w:right w:w="0" w:type="dxa"/>
          </w:tblCellMar>
        </w:tblPrEx>
        <w:trPr>
          <w:trHeight w:val="312" w:hRule="atLeast"/>
        </w:trPr>
        <w:tc>
          <w:tcPr>
            <w:tcW w:w="1270" w:type="dxa"/>
            <w:gridSpan w:val="4"/>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239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1392" w:type="dxa"/>
            <w:gridSpan w:val="2"/>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1882" w:type="dxa"/>
            <w:gridSpan w:val="2"/>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1909"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r>
      <w:tr>
        <w:tblPrEx>
          <w:tblCellMar>
            <w:top w:w="0" w:type="dxa"/>
            <w:left w:w="0" w:type="dxa"/>
            <w:bottom w:w="0" w:type="dxa"/>
            <w:right w:w="0" w:type="dxa"/>
          </w:tblCellMar>
        </w:tblPrEx>
        <w:trPr>
          <w:trHeight w:val="463" w:hRule="atLeast"/>
        </w:trPr>
        <w:tc>
          <w:tcPr>
            <w:tcW w:w="1270" w:type="dxa"/>
            <w:gridSpan w:val="4"/>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2390" w:type="dxa"/>
            <w:vMerge w:val="continue"/>
            <w:tcBorders>
              <w:top w:val="single" w:color="000000" w:sz="4" w:space="0"/>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1392" w:type="dxa"/>
            <w:gridSpan w:val="2"/>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1882" w:type="dxa"/>
            <w:gridSpan w:val="2"/>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1909"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r>
      <w:tr>
        <w:tblPrEx>
          <w:tblCellMar>
            <w:top w:w="0" w:type="dxa"/>
            <w:left w:w="0" w:type="dxa"/>
            <w:bottom w:w="0" w:type="dxa"/>
            <w:right w:w="0" w:type="dxa"/>
          </w:tblCellMar>
        </w:tblPrEx>
        <w:trPr>
          <w:trHeight w:val="289" w:hRule="atLeast"/>
        </w:trPr>
        <w:tc>
          <w:tcPr>
            <w:tcW w:w="445" w:type="dxa"/>
            <w:vMerge w:val="restart"/>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类</w:t>
            </w:r>
          </w:p>
        </w:tc>
        <w:tc>
          <w:tcPr>
            <w:tcW w:w="446" w:type="dxa"/>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款</w:t>
            </w:r>
          </w:p>
        </w:tc>
        <w:tc>
          <w:tcPr>
            <w:tcW w:w="379" w:type="dxa"/>
            <w:gridSpan w:val="2"/>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项</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栏次</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1</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2</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3</w:t>
            </w:r>
          </w:p>
        </w:tc>
      </w:tr>
      <w:tr>
        <w:tblPrEx>
          <w:tblCellMar>
            <w:top w:w="0" w:type="dxa"/>
            <w:left w:w="0" w:type="dxa"/>
            <w:bottom w:w="0" w:type="dxa"/>
            <w:right w:w="0" w:type="dxa"/>
          </w:tblCellMar>
        </w:tblPrEx>
        <w:trPr>
          <w:trHeight w:val="289" w:hRule="atLeast"/>
        </w:trPr>
        <w:tc>
          <w:tcPr>
            <w:tcW w:w="445" w:type="dxa"/>
            <w:vMerge w:val="continue"/>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446"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379" w:type="dxa"/>
            <w:gridSpan w:val="2"/>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2"/>
                <w:szCs w:val="22"/>
              </w:rPr>
            </w:pPr>
            <w:r>
              <w:rPr>
                <w:rFonts w:hint="eastAsia" w:ascii="宋体" w:hAnsi="宋体" w:eastAsia="宋体" w:cs="宋体"/>
                <w:kern w:val="0"/>
                <w:sz w:val="22"/>
                <w:szCs w:val="22"/>
                <w:lang w:bidi="ar"/>
              </w:rPr>
              <w:t>合计</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b/>
                <w:sz w:val="22"/>
                <w:szCs w:val="22"/>
              </w:rPr>
            </w:pPr>
            <w:r>
              <w:rPr>
                <w:rFonts w:hint="eastAsia" w:ascii="宋体" w:hAnsi="宋体" w:eastAsia="宋体" w:cs="宋体"/>
                <w:b/>
                <w:sz w:val="22"/>
                <w:szCs w:val="22"/>
              </w:rPr>
              <w:t>1361.17</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b/>
                <w:sz w:val="22"/>
                <w:szCs w:val="22"/>
              </w:rPr>
            </w:pPr>
            <w:r>
              <w:rPr>
                <w:rFonts w:hint="eastAsia" w:ascii="宋体" w:hAnsi="宋体" w:eastAsia="宋体" w:cs="宋体"/>
                <w:b/>
                <w:sz w:val="22"/>
                <w:szCs w:val="22"/>
              </w:rPr>
              <w:t>1059.84</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b/>
                <w:sz w:val="22"/>
                <w:szCs w:val="22"/>
              </w:rPr>
            </w:pPr>
            <w:r>
              <w:rPr>
                <w:rFonts w:hint="eastAsia" w:ascii="宋体" w:hAnsi="宋体" w:eastAsia="宋体" w:cs="宋体"/>
                <w:b/>
                <w:sz w:val="22"/>
                <w:szCs w:val="22"/>
              </w:rPr>
              <w:t>301.33</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201</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一般公共服务支出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1.96</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1.96</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20106</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财政事务</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1.96</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1.96</w:t>
            </w:r>
          </w:p>
        </w:tc>
      </w:tr>
      <w:tr>
        <w:tblPrEx>
          <w:tblCellMar>
            <w:top w:w="0" w:type="dxa"/>
            <w:left w:w="0" w:type="dxa"/>
            <w:bottom w:w="0" w:type="dxa"/>
            <w:right w:w="0" w:type="dxa"/>
          </w:tblCellMar>
        </w:tblPrEx>
        <w:trPr>
          <w:trHeight w:val="340"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2010699</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 xml:space="preserve">  其他财政事务支出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1.96</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1.96</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204</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公共安全支出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909.17</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624.81</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284.37</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20402</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公安</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32.56</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32.56</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2040299</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 xml:space="preserve">  其他公安支出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32.56</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32.56</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20404</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检察</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871.62</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624.81</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246.81</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2040401</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 xml:space="preserve">  行政运行</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475.13</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475.13</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2040402</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 xml:space="preserve">  一般行政管理事务</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280.73</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149.68</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131.05</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2040409</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 xml:space="preserve">  “两房”建设</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115.76</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115.76</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20406</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司法</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5.00</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5.00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2040604</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 xml:space="preserve">  基层司法业务</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5.00</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5.00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208</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社会保障和就业支出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41.29</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39.29</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20801</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人力资源和社会保障管理事务</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2.00</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2080116</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 xml:space="preserve">  引进人才费用</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2.00</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20805</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行政事业单位养老支出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38.82</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38.82</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2080501</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 xml:space="preserve">  行政单位离退休</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0.51</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0.51</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2080502</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 xml:space="preserve">  事业单位离退休</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0.50</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0.50</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2080505</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 xml:space="preserve">  机关事业单位基本养老保险缴费支出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30.25</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30.25</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304"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2080506</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 xml:space="preserve">  机关事业单位职业年金缴费支出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7.56</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7.56</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20899</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其他社会保障和就业支出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0.47</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0.47</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2089999</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 xml:space="preserve">  其他社会保障和就业支出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0.47</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0.47</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210</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卫生健康支出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15.12</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15.12</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22"/>
                <w:szCs w:val="22"/>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21011</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行政事业单位医疗</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15.12</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15.12</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2101101</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 xml:space="preserve">  行政单位医疗</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15.12</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15.12</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212</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城乡社区支出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314.75</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301.75</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13.00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21201</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城乡社区管理事务</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103.20</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103.20</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616"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2120199</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 xml:space="preserve">  其他城乡社区管理事务支出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103.20</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103.20</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21299</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其他城乡社区支出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211.55</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198.55</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13.00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2129999</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 xml:space="preserve">  其他城乡社区支出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211.55</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198.55</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13.00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221</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住房保障支出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78.86</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78.86</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22102</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住房改革支出</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78.86</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78.86</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2210201</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 xml:space="preserve">  住房公积金</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63.38</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63.38</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289" w:hRule="atLeast"/>
        </w:trPr>
        <w:tc>
          <w:tcPr>
            <w:tcW w:w="1270" w:type="dxa"/>
            <w:gridSpan w:val="4"/>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2210202</w:t>
            </w:r>
          </w:p>
        </w:tc>
        <w:tc>
          <w:tcPr>
            <w:tcW w:w="2390"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 xml:space="preserve">  提租补贴</w:t>
            </w:r>
          </w:p>
        </w:tc>
        <w:tc>
          <w:tcPr>
            <w:tcW w:w="139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15.48</w:t>
            </w:r>
          </w:p>
        </w:tc>
        <w:tc>
          <w:tcPr>
            <w:tcW w:w="1882"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15.48</w:t>
            </w:r>
          </w:p>
        </w:tc>
        <w:tc>
          <w:tcPr>
            <w:tcW w:w="1909"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0.00</w:t>
            </w:r>
          </w:p>
        </w:tc>
      </w:tr>
      <w:tr>
        <w:tblPrEx>
          <w:tblCellMar>
            <w:top w:w="0" w:type="dxa"/>
            <w:left w:w="0" w:type="dxa"/>
            <w:bottom w:w="0" w:type="dxa"/>
            <w:right w:w="0" w:type="dxa"/>
          </w:tblCellMar>
        </w:tblPrEx>
        <w:trPr>
          <w:trHeight w:val="289" w:hRule="atLeast"/>
        </w:trPr>
        <w:tc>
          <w:tcPr>
            <w:tcW w:w="8843" w:type="dxa"/>
            <w:gridSpan w:val="10"/>
            <w:tcBorders>
              <w:top w:val="nil"/>
              <w:left w:val="nil"/>
              <w:bottom w:val="nil"/>
              <w:right w:val="nil"/>
            </w:tcBorders>
            <w:tcMar>
              <w:top w:w="12" w:type="dxa"/>
              <w:left w:w="12" w:type="dxa"/>
              <w:right w:w="12" w:type="dxa"/>
            </w:tcMar>
            <w:vAlign w:val="center"/>
          </w:tcPr>
          <w:p>
            <w:pPr>
              <w:widowControl/>
              <w:jc w:val="left"/>
              <w:textAlignment w:val="center"/>
              <w:rPr>
                <w:rFonts w:ascii="宋体" w:hAnsi="宋体" w:eastAsia="宋体" w:cs="宋体"/>
                <w:sz w:val="22"/>
                <w:szCs w:val="22"/>
              </w:rPr>
            </w:pPr>
            <w:r>
              <w:rPr>
                <w:rFonts w:hint="eastAsia" w:ascii="宋体" w:hAnsi="宋体" w:eastAsia="宋体" w:cs="宋体"/>
                <w:kern w:val="0"/>
                <w:sz w:val="20"/>
                <w:lang w:bidi="ar"/>
              </w:rPr>
              <w:t>注：本表反映部门本年度一般公共预算财政拨款支出情况。</w:t>
            </w:r>
          </w:p>
        </w:tc>
      </w:tr>
    </w:tbl>
    <w:p>
      <w:pPr>
        <w:ind w:firstLine="640" w:firstLineChars="200"/>
        <w:rPr>
          <w:rFonts w:ascii="黑体" w:hAnsi="黑体" w:eastAsia="黑体"/>
          <w:szCs w:val="32"/>
        </w:rPr>
      </w:pPr>
    </w:p>
    <w:p>
      <w:pPr>
        <w:ind w:firstLine="640" w:firstLineChars="200"/>
        <w:rPr>
          <w:rFonts w:ascii="黑体" w:hAnsi="黑体" w:eastAsia="黑体"/>
          <w:szCs w:val="32"/>
        </w:rPr>
      </w:pPr>
    </w:p>
    <w:p>
      <w:pPr>
        <w:ind w:firstLine="640" w:firstLineChars="200"/>
        <w:rPr>
          <w:rFonts w:ascii="黑体" w:hAnsi="黑体" w:eastAsia="黑体"/>
          <w:szCs w:val="32"/>
        </w:rPr>
      </w:pPr>
    </w:p>
    <w:p>
      <w:pPr>
        <w:ind w:firstLine="640" w:firstLineChars="200"/>
        <w:rPr>
          <w:rFonts w:ascii="黑体" w:hAnsi="黑体" w:eastAsia="黑体"/>
          <w:szCs w:val="32"/>
        </w:rPr>
      </w:pPr>
    </w:p>
    <w:p>
      <w:pPr>
        <w:ind w:firstLine="640" w:firstLineChars="200"/>
        <w:rPr>
          <w:rFonts w:ascii="黑体" w:hAnsi="黑体" w:eastAsia="黑体"/>
          <w:szCs w:val="32"/>
        </w:rPr>
      </w:pPr>
    </w:p>
    <w:p>
      <w:pPr>
        <w:ind w:firstLine="640" w:firstLineChars="200"/>
        <w:rPr>
          <w:rFonts w:ascii="黑体" w:hAnsi="黑体" w:eastAsia="黑体"/>
          <w:szCs w:val="32"/>
        </w:rPr>
      </w:pPr>
    </w:p>
    <w:p>
      <w:pPr>
        <w:ind w:firstLine="640" w:firstLineChars="200"/>
        <w:jc w:val="center"/>
        <w:rPr>
          <w:rFonts w:ascii="黑体" w:hAnsi="黑体" w:eastAsia="黑体"/>
          <w:szCs w:val="32"/>
        </w:rPr>
      </w:pPr>
      <w:r>
        <w:rPr>
          <w:rFonts w:hint="eastAsia" w:ascii="黑体" w:hAnsi="黑体" w:eastAsia="黑体"/>
          <w:szCs w:val="32"/>
        </w:rPr>
        <w:t>一般公共预算财政拨款基本支出决算明细表</w:t>
      </w:r>
    </w:p>
    <w:tbl>
      <w:tblPr>
        <w:tblStyle w:val="4"/>
        <w:tblW w:w="8898" w:type="dxa"/>
        <w:tblInd w:w="0" w:type="dxa"/>
        <w:tblLayout w:type="fixed"/>
        <w:tblCellMar>
          <w:top w:w="0" w:type="dxa"/>
          <w:left w:w="0" w:type="dxa"/>
          <w:bottom w:w="0" w:type="dxa"/>
          <w:right w:w="0" w:type="dxa"/>
        </w:tblCellMar>
      </w:tblPr>
      <w:tblGrid>
        <w:gridCol w:w="510"/>
        <w:gridCol w:w="96"/>
        <w:gridCol w:w="1791"/>
        <w:gridCol w:w="622"/>
        <w:gridCol w:w="578"/>
        <w:gridCol w:w="1702"/>
        <w:gridCol w:w="524"/>
        <w:gridCol w:w="545"/>
        <w:gridCol w:w="88"/>
        <w:gridCol w:w="1692"/>
        <w:gridCol w:w="177"/>
        <w:gridCol w:w="573"/>
      </w:tblGrid>
      <w:tr>
        <w:tblPrEx>
          <w:tblCellMar>
            <w:top w:w="0" w:type="dxa"/>
            <w:left w:w="0" w:type="dxa"/>
            <w:bottom w:w="0" w:type="dxa"/>
            <w:right w:w="0" w:type="dxa"/>
          </w:tblCellMar>
        </w:tblPrEx>
        <w:trPr>
          <w:trHeight w:val="264" w:hRule="atLeast"/>
        </w:trPr>
        <w:tc>
          <w:tcPr>
            <w:tcW w:w="606" w:type="dxa"/>
            <w:gridSpan w:val="2"/>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791"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622"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578"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702"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524"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633" w:type="dxa"/>
            <w:gridSpan w:val="2"/>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692"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750" w:type="dxa"/>
            <w:gridSpan w:val="2"/>
            <w:tcBorders>
              <w:top w:val="nil"/>
              <w:left w:val="nil"/>
              <w:bottom w:val="nil"/>
              <w:right w:val="nil"/>
            </w:tcBorders>
            <w:tcMar>
              <w:top w:w="12" w:type="dxa"/>
              <w:left w:w="12" w:type="dxa"/>
              <w:right w:w="12" w:type="dxa"/>
            </w:tcMar>
            <w:vAlign w:val="bottom"/>
          </w:tcPr>
          <w:p>
            <w:pPr>
              <w:widowControl/>
              <w:jc w:val="right"/>
              <w:textAlignment w:val="bottom"/>
              <w:rPr>
                <w:rFonts w:ascii="宋体" w:hAnsi="宋体" w:eastAsia="宋体" w:cs="宋体"/>
                <w:sz w:val="16"/>
                <w:szCs w:val="16"/>
              </w:rPr>
            </w:pPr>
            <w:r>
              <w:rPr>
                <w:rFonts w:hint="eastAsia" w:ascii="宋体" w:hAnsi="宋体" w:eastAsia="宋体" w:cs="宋体"/>
                <w:kern w:val="0"/>
                <w:sz w:val="16"/>
                <w:szCs w:val="16"/>
                <w:lang w:bidi="ar"/>
              </w:rPr>
              <w:t>公开06表</w:t>
            </w:r>
          </w:p>
        </w:tc>
      </w:tr>
      <w:tr>
        <w:tblPrEx>
          <w:tblCellMar>
            <w:top w:w="0" w:type="dxa"/>
            <w:left w:w="0" w:type="dxa"/>
            <w:bottom w:w="0" w:type="dxa"/>
            <w:right w:w="0" w:type="dxa"/>
          </w:tblCellMar>
        </w:tblPrEx>
        <w:trPr>
          <w:trHeight w:val="264" w:hRule="atLeast"/>
        </w:trPr>
        <w:tc>
          <w:tcPr>
            <w:tcW w:w="606" w:type="dxa"/>
            <w:gridSpan w:val="2"/>
            <w:tcBorders>
              <w:top w:val="nil"/>
              <w:left w:val="nil"/>
              <w:bottom w:val="nil"/>
              <w:right w:val="nil"/>
            </w:tcBorders>
            <w:tcMar>
              <w:top w:w="12" w:type="dxa"/>
              <w:left w:w="12" w:type="dxa"/>
              <w:right w:w="12" w:type="dxa"/>
            </w:tcMar>
            <w:vAlign w:val="bottom"/>
          </w:tcPr>
          <w:p>
            <w:pPr>
              <w:widowControl/>
              <w:jc w:val="left"/>
              <w:textAlignment w:val="bottom"/>
              <w:rPr>
                <w:rFonts w:ascii="宋体" w:hAnsi="宋体" w:eastAsia="宋体" w:cs="宋体"/>
                <w:sz w:val="20"/>
              </w:rPr>
            </w:pPr>
            <w:r>
              <w:rPr>
                <w:rFonts w:hint="eastAsia" w:ascii="宋体" w:hAnsi="宋体" w:eastAsia="宋体" w:cs="宋体"/>
                <w:kern w:val="0"/>
                <w:sz w:val="20"/>
                <w:lang w:bidi="ar"/>
              </w:rPr>
              <w:t>部门：</w:t>
            </w:r>
          </w:p>
        </w:tc>
        <w:tc>
          <w:tcPr>
            <w:tcW w:w="1791"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622"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578"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1702"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524" w:type="dxa"/>
            <w:tcBorders>
              <w:top w:val="nil"/>
              <w:left w:val="nil"/>
              <w:bottom w:val="nil"/>
              <w:right w:val="nil"/>
            </w:tcBorders>
            <w:tcMar>
              <w:top w:w="12" w:type="dxa"/>
              <w:left w:w="12" w:type="dxa"/>
              <w:right w:w="12" w:type="dxa"/>
            </w:tcMar>
            <w:vAlign w:val="bottom"/>
          </w:tcPr>
          <w:p>
            <w:pPr>
              <w:rPr>
                <w:rFonts w:ascii="Arial" w:hAnsi="Arial" w:cs="Arial"/>
                <w:sz w:val="20"/>
              </w:rPr>
            </w:pPr>
          </w:p>
        </w:tc>
        <w:tc>
          <w:tcPr>
            <w:tcW w:w="633" w:type="dxa"/>
            <w:gridSpan w:val="2"/>
            <w:tcBorders>
              <w:top w:val="nil"/>
              <w:left w:val="nil"/>
              <w:bottom w:val="nil"/>
              <w:right w:val="nil"/>
            </w:tcBorders>
            <w:tcMar>
              <w:top w:w="12" w:type="dxa"/>
              <w:left w:w="12" w:type="dxa"/>
              <w:right w:w="12" w:type="dxa"/>
            </w:tcMar>
            <w:vAlign w:val="bottom"/>
          </w:tcPr>
          <w:p>
            <w:pPr>
              <w:rPr>
                <w:rFonts w:ascii="Arial" w:hAnsi="Arial" w:cs="Arial"/>
                <w:sz w:val="20"/>
              </w:rPr>
            </w:pPr>
          </w:p>
        </w:tc>
        <w:tc>
          <w:tcPr>
            <w:tcW w:w="2442" w:type="dxa"/>
            <w:gridSpan w:val="3"/>
            <w:tcBorders>
              <w:top w:val="nil"/>
              <w:left w:val="nil"/>
              <w:bottom w:val="nil"/>
              <w:right w:val="nil"/>
            </w:tcBorders>
            <w:tcMar>
              <w:top w:w="12" w:type="dxa"/>
              <w:left w:w="12" w:type="dxa"/>
              <w:right w:w="12" w:type="dxa"/>
            </w:tcMar>
            <w:vAlign w:val="bottom"/>
          </w:tcPr>
          <w:p>
            <w:pPr>
              <w:widowControl/>
              <w:jc w:val="right"/>
              <w:textAlignment w:val="bottom"/>
              <w:rPr>
                <w:rFonts w:ascii="宋体" w:hAnsi="宋体" w:eastAsia="宋体" w:cs="宋体"/>
                <w:sz w:val="16"/>
                <w:szCs w:val="16"/>
              </w:rPr>
            </w:pPr>
            <w:r>
              <w:rPr>
                <w:rFonts w:hint="eastAsia" w:ascii="宋体" w:hAnsi="宋体" w:eastAsia="宋体" w:cs="宋体"/>
                <w:kern w:val="0"/>
                <w:sz w:val="16"/>
                <w:szCs w:val="16"/>
                <w:lang w:bidi="ar"/>
              </w:rPr>
              <w:t>金额单位：万元</w:t>
            </w:r>
          </w:p>
        </w:tc>
      </w:tr>
      <w:tr>
        <w:tblPrEx>
          <w:tblCellMar>
            <w:top w:w="0" w:type="dxa"/>
            <w:left w:w="0" w:type="dxa"/>
            <w:bottom w:w="0" w:type="dxa"/>
            <w:right w:w="0" w:type="dxa"/>
          </w:tblCellMar>
        </w:tblPrEx>
        <w:trPr>
          <w:trHeight w:val="235" w:hRule="atLeast"/>
        </w:trPr>
        <w:tc>
          <w:tcPr>
            <w:tcW w:w="3019" w:type="dxa"/>
            <w:gridSpan w:val="4"/>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人员经费</w:t>
            </w:r>
          </w:p>
        </w:tc>
        <w:tc>
          <w:tcPr>
            <w:tcW w:w="5879" w:type="dxa"/>
            <w:gridSpan w:val="8"/>
            <w:tcBorders>
              <w:top w:val="single" w:color="000000" w:sz="4" w:space="0"/>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公用经费</w:t>
            </w:r>
          </w:p>
        </w:tc>
      </w:tr>
      <w:tr>
        <w:tblPrEx>
          <w:tblCellMar>
            <w:top w:w="0" w:type="dxa"/>
            <w:left w:w="0" w:type="dxa"/>
            <w:bottom w:w="0" w:type="dxa"/>
            <w:right w:w="0" w:type="dxa"/>
          </w:tblCellMar>
        </w:tblPrEx>
        <w:trPr>
          <w:trHeight w:val="424" w:hRule="atLeast"/>
        </w:trPr>
        <w:tc>
          <w:tcPr>
            <w:tcW w:w="510" w:type="dxa"/>
            <w:vMerge w:val="restart"/>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科目代码</w:t>
            </w:r>
          </w:p>
        </w:tc>
        <w:tc>
          <w:tcPr>
            <w:tcW w:w="1887" w:type="dxa"/>
            <w:gridSpan w:val="2"/>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科目名称</w:t>
            </w:r>
          </w:p>
        </w:tc>
        <w:tc>
          <w:tcPr>
            <w:tcW w:w="622" w:type="dxa"/>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金额</w:t>
            </w:r>
          </w:p>
        </w:tc>
        <w:tc>
          <w:tcPr>
            <w:tcW w:w="578" w:type="dxa"/>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科目代码</w:t>
            </w:r>
          </w:p>
        </w:tc>
        <w:tc>
          <w:tcPr>
            <w:tcW w:w="1702" w:type="dxa"/>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科目名称</w:t>
            </w:r>
          </w:p>
        </w:tc>
        <w:tc>
          <w:tcPr>
            <w:tcW w:w="524" w:type="dxa"/>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金额</w:t>
            </w:r>
          </w:p>
        </w:tc>
        <w:tc>
          <w:tcPr>
            <w:tcW w:w="545" w:type="dxa"/>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科目代码</w:t>
            </w:r>
          </w:p>
        </w:tc>
        <w:tc>
          <w:tcPr>
            <w:tcW w:w="1957" w:type="dxa"/>
            <w:gridSpan w:val="3"/>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科目名称</w:t>
            </w:r>
          </w:p>
        </w:tc>
        <w:tc>
          <w:tcPr>
            <w:tcW w:w="573" w:type="dxa"/>
            <w:vMerge w:val="restart"/>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20"/>
              </w:rPr>
            </w:pPr>
            <w:r>
              <w:rPr>
                <w:rFonts w:hint="eastAsia" w:ascii="宋体" w:hAnsi="宋体" w:eastAsia="宋体" w:cs="宋体"/>
                <w:kern w:val="0"/>
                <w:sz w:val="20"/>
                <w:lang w:bidi="ar"/>
              </w:rPr>
              <w:t>金额</w:t>
            </w:r>
          </w:p>
        </w:tc>
      </w:tr>
      <w:tr>
        <w:tblPrEx>
          <w:tblCellMar>
            <w:top w:w="0" w:type="dxa"/>
            <w:left w:w="0" w:type="dxa"/>
            <w:bottom w:w="0" w:type="dxa"/>
            <w:right w:w="0" w:type="dxa"/>
          </w:tblCellMar>
        </w:tblPrEx>
        <w:trPr>
          <w:trHeight w:val="388" w:hRule="atLeast"/>
        </w:trPr>
        <w:tc>
          <w:tcPr>
            <w:tcW w:w="510" w:type="dxa"/>
            <w:vMerge w:val="continue"/>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1887" w:type="dxa"/>
            <w:gridSpan w:val="2"/>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622"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578"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1702"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524"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545"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1957" w:type="dxa"/>
            <w:gridSpan w:val="3"/>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c>
          <w:tcPr>
            <w:tcW w:w="573" w:type="dxa"/>
            <w:vMerge w:val="continue"/>
            <w:tcBorders>
              <w:top w:val="nil"/>
              <w:left w:val="nil"/>
              <w:bottom w:val="single" w:color="000000" w:sz="4" w:space="0"/>
              <w:right w:val="single" w:color="000000" w:sz="4" w:space="0"/>
            </w:tcBorders>
            <w:tcMar>
              <w:top w:w="12" w:type="dxa"/>
              <w:left w:w="12" w:type="dxa"/>
              <w:right w:w="12" w:type="dxa"/>
            </w:tcMar>
            <w:vAlign w:val="center"/>
          </w:tcPr>
          <w:p>
            <w:pPr>
              <w:jc w:val="center"/>
              <w:rPr>
                <w:rFonts w:ascii="宋体" w:hAnsi="宋体" w:eastAsia="宋体" w:cs="宋体"/>
                <w:sz w:val="22"/>
                <w:szCs w:val="22"/>
              </w:rPr>
            </w:pP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301</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工资福利支出</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746.22</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商品和服务支出</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162.71</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30703</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国内债务发行费用</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90"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30101</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基本工资</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239.47</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30201</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办公费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2.17</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30704</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国外债务发行费用</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30102</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津贴补贴</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151.46</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30202</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印刷费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0.08</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资本性支出</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0.59</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30103</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奖金</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75.80</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30203</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咨询费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31001</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房屋建筑物购建</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90"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30106</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伙食补助费</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30204</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手续费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31002</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办公设备购置</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0.59</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30107</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绩效工资</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30205</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水费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0.25</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31003</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专用设备购置</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30108</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机关事业单位基本养老保险缴费</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30.25</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30206</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电费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20.38</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31005</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基础设施建设</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90"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30109</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职业年金缴费</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7.56</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30207</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邮电费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0.03</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31006</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大型修缮</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30110</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职工基本医疗保险缴费</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15.12</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30208</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取暖费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31007</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信息网络及软件购置更新</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30111</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公务员医疗补助缴费</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30209</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物业管理费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45.70</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31008</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物资储备</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30112</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其他社会保障缴费</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0.85</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30211</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差旅费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0.65</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31009</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土地补偿</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30113</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住房公积金</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63.38</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30212</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因公出国（境）费用</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31010</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安置补助</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30114</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医疗费</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30213</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维修(护)费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0.24</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31011</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地上附着物和青苗补偿</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30199</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其他工资福利支出</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162.32</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30214</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租赁费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2.56</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31012</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拆迁补偿</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303</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对个人和家庭的补助</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150.32</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30215</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会议费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31013</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公务用车购置</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30301</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离休费</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30216</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培训费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3.19</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31019</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其他交通工具购置</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30302</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退休费</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1.01</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30217</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公务接待费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1.81</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31021</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文物和陈列品购置</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30303</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退职（役）费</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30218</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专用材料费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31022</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无形资产购置</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50"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30304</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抚恤金</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30224</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被装购置费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31099</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其他资本性支出</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30305</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生活补助</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136.58</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30225</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专用燃料费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312</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对企业补助</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30306</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救济费</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30226</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劳务费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0.27</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31201</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资本金注入</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59"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30307</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医疗费补助</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7.55</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30227</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委托业务费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0.35</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31203</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政府投资基金股权投资</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30308</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助学金</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30228</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工会经费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21.05</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31204</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费用补贴</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30309</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奖励金</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30229</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福利费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0.15</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31205</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利息补贴</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30310</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个人农业生产补贴</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30231</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公务用车运行维护费</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0.01</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31299 </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其他对企业补助</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30311</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代缴社会保险费</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30239</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其他交通费用</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19.68</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399</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其他支出</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30399</w:t>
            </w: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其他对个人和家庭的补助</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5.19</w:t>
            </w: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30240</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税金及附加费用</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39907</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国家赔偿费用支出</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12"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6"/>
                <w:szCs w:val="16"/>
              </w:rPr>
            </w:pP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kern w:val="0"/>
                <w:sz w:val="16"/>
                <w:szCs w:val="16"/>
                <w:lang w:bidi="ar"/>
              </w:rPr>
            </w:pP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kern w:val="0"/>
                <w:sz w:val="16"/>
                <w:szCs w:val="16"/>
                <w:lang w:bidi="ar"/>
              </w:rPr>
            </w:pP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30299</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其他商品和服务支出</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44.15</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39908</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对民间非营利组织和群众性自治组织补贴</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6"/>
                <w:szCs w:val="16"/>
              </w:rPr>
            </w:pP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kern w:val="0"/>
                <w:sz w:val="16"/>
                <w:szCs w:val="16"/>
                <w:lang w:bidi="ar"/>
              </w:rPr>
            </w:pP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kern w:val="0"/>
                <w:sz w:val="16"/>
                <w:szCs w:val="16"/>
                <w:lang w:bidi="ar"/>
              </w:rPr>
            </w:pP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307</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债务利息及费用支出</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39909</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经常性赠与</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6"/>
                <w:szCs w:val="16"/>
              </w:rPr>
            </w:pP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kern w:val="0"/>
                <w:sz w:val="16"/>
                <w:szCs w:val="16"/>
                <w:lang w:bidi="ar"/>
              </w:rPr>
            </w:pP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kern w:val="0"/>
                <w:sz w:val="16"/>
                <w:szCs w:val="16"/>
                <w:lang w:bidi="ar"/>
              </w:rPr>
            </w:pP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30701</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国内债务付息</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39910</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资本性赠与</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235" w:hRule="atLeast"/>
        </w:trPr>
        <w:tc>
          <w:tcPr>
            <w:tcW w:w="510" w:type="dxa"/>
            <w:tcBorders>
              <w:top w:val="nil"/>
              <w:left w:val="single" w:color="000000" w:sz="4" w:space="0"/>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sz w:val="16"/>
                <w:szCs w:val="16"/>
              </w:rPr>
            </w:pPr>
          </w:p>
        </w:tc>
        <w:tc>
          <w:tcPr>
            <w:tcW w:w="1887" w:type="dxa"/>
            <w:gridSpan w:val="2"/>
            <w:tcBorders>
              <w:top w:val="nil"/>
              <w:left w:val="nil"/>
              <w:bottom w:val="single" w:color="000000" w:sz="4" w:space="0"/>
              <w:right w:val="single" w:color="000000" w:sz="4" w:space="0"/>
            </w:tcBorders>
            <w:tcMar>
              <w:top w:w="12" w:type="dxa"/>
              <w:left w:w="12" w:type="dxa"/>
              <w:right w:w="12" w:type="dxa"/>
            </w:tcMar>
            <w:vAlign w:val="center"/>
          </w:tcPr>
          <w:p>
            <w:pPr>
              <w:jc w:val="left"/>
              <w:rPr>
                <w:rFonts w:ascii="宋体" w:hAnsi="宋体" w:eastAsia="宋体" w:cs="宋体"/>
                <w:kern w:val="0"/>
                <w:sz w:val="16"/>
                <w:szCs w:val="16"/>
                <w:lang w:bidi="ar"/>
              </w:rPr>
            </w:pP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kern w:val="0"/>
                <w:sz w:val="16"/>
                <w:szCs w:val="16"/>
                <w:lang w:bidi="ar"/>
              </w:rPr>
            </w:pPr>
          </w:p>
        </w:tc>
        <w:tc>
          <w:tcPr>
            <w:tcW w:w="578"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30702</w:t>
            </w:r>
          </w:p>
        </w:tc>
        <w:tc>
          <w:tcPr>
            <w:tcW w:w="1702"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国外债务付息</w:t>
            </w:r>
          </w:p>
        </w:tc>
        <w:tc>
          <w:tcPr>
            <w:tcW w:w="524"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0.00</w:t>
            </w:r>
          </w:p>
        </w:tc>
        <w:tc>
          <w:tcPr>
            <w:tcW w:w="545" w:type="dxa"/>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39999</w:t>
            </w:r>
          </w:p>
        </w:tc>
        <w:tc>
          <w:tcPr>
            <w:tcW w:w="1957" w:type="dxa"/>
            <w:gridSpan w:val="3"/>
            <w:tcBorders>
              <w:top w:val="nil"/>
              <w:left w:val="nil"/>
              <w:bottom w:val="single" w:color="000000" w:sz="4" w:space="0"/>
              <w:right w:val="single" w:color="000000" w:sz="4" w:space="0"/>
            </w:tcBorders>
            <w:tcMar>
              <w:top w:w="12" w:type="dxa"/>
              <w:left w:w="12" w:type="dxa"/>
              <w:right w:w="12" w:type="dxa"/>
            </w:tcMar>
            <w:vAlign w:val="center"/>
          </w:tcPr>
          <w:p>
            <w:pPr>
              <w:widowControl/>
              <w:jc w:val="left"/>
              <w:textAlignment w:val="center"/>
              <w:rPr>
                <w:rFonts w:ascii="宋体" w:hAnsi="宋体" w:eastAsia="宋体" w:cs="宋体"/>
                <w:kern w:val="0"/>
                <w:sz w:val="16"/>
                <w:szCs w:val="16"/>
                <w:lang w:bidi="ar"/>
              </w:rPr>
            </w:pPr>
            <w:r>
              <w:rPr>
                <w:rFonts w:hint="eastAsia" w:ascii="宋体" w:hAnsi="宋体" w:eastAsia="宋体" w:cs="宋体"/>
                <w:color w:val="000000"/>
                <w:kern w:val="0"/>
                <w:sz w:val="16"/>
                <w:szCs w:val="16"/>
                <w:lang w:bidi="ar"/>
              </w:rPr>
              <w:t xml:space="preserve">  其他支出</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widowControl/>
              <w:jc w:val="right"/>
              <w:textAlignment w:val="center"/>
              <w:rPr>
                <w:rFonts w:ascii="宋体" w:hAnsi="宋体" w:eastAsia="宋体" w:cs="宋体"/>
                <w:sz w:val="16"/>
                <w:szCs w:val="16"/>
              </w:rPr>
            </w:pPr>
            <w:r>
              <w:rPr>
                <w:rFonts w:hint="eastAsia" w:ascii="宋体" w:hAnsi="宋体" w:eastAsia="宋体" w:cs="宋体"/>
                <w:color w:val="000000"/>
                <w:kern w:val="0"/>
                <w:sz w:val="16"/>
                <w:szCs w:val="16"/>
                <w:lang w:bidi="ar"/>
              </w:rPr>
              <w:t>0.00</w:t>
            </w:r>
          </w:p>
        </w:tc>
      </w:tr>
      <w:tr>
        <w:tblPrEx>
          <w:tblCellMar>
            <w:top w:w="0" w:type="dxa"/>
            <w:left w:w="0" w:type="dxa"/>
            <w:bottom w:w="0" w:type="dxa"/>
            <w:right w:w="0" w:type="dxa"/>
          </w:tblCellMar>
        </w:tblPrEx>
        <w:trPr>
          <w:trHeight w:val="318" w:hRule="atLeast"/>
        </w:trPr>
        <w:tc>
          <w:tcPr>
            <w:tcW w:w="2397" w:type="dxa"/>
            <w:gridSpan w:val="3"/>
            <w:tcBorders>
              <w:top w:val="nil"/>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6"/>
                <w:szCs w:val="16"/>
              </w:rPr>
            </w:pPr>
            <w:r>
              <w:rPr>
                <w:rFonts w:hint="eastAsia" w:ascii="宋体" w:hAnsi="宋体" w:eastAsia="宋体" w:cs="宋体"/>
                <w:kern w:val="0"/>
                <w:sz w:val="16"/>
                <w:szCs w:val="16"/>
                <w:lang w:bidi="ar"/>
              </w:rPr>
              <w:t>人员经费合计</w:t>
            </w:r>
          </w:p>
        </w:tc>
        <w:tc>
          <w:tcPr>
            <w:tcW w:w="622"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6"/>
                <w:szCs w:val="16"/>
              </w:rPr>
            </w:pPr>
            <w:r>
              <w:rPr>
                <w:rFonts w:hint="eastAsia" w:ascii="宋体" w:hAnsi="宋体" w:eastAsia="宋体" w:cs="宋体"/>
                <w:sz w:val="16"/>
                <w:szCs w:val="16"/>
              </w:rPr>
              <w:t>896.54</w:t>
            </w:r>
          </w:p>
        </w:tc>
        <w:tc>
          <w:tcPr>
            <w:tcW w:w="5306" w:type="dxa"/>
            <w:gridSpan w:val="7"/>
            <w:tcBorders>
              <w:top w:val="nil"/>
              <w:left w:val="nil"/>
              <w:bottom w:val="single" w:color="000000" w:sz="4" w:space="0"/>
              <w:right w:val="single" w:color="000000" w:sz="4" w:space="0"/>
            </w:tcBorders>
            <w:tcMar>
              <w:top w:w="12" w:type="dxa"/>
              <w:left w:w="12" w:type="dxa"/>
              <w:right w:w="12" w:type="dxa"/>
            </w:tcMar>
            <w:vAlign w:val="center"/>
          </w:tcPr>
          <w:p>
            <w:pPr>
              <w:widowControl/>
              <w:jc w:val="center"/>
              <w:textAlignment w:val="center"/>
              <w:rPr>
                <w:rFonts w:ascii="宋体" w:hAnsi="宋体" w:eastAsia="宋体" w:cs="宋体"/>
                <w:sz w:val="16"/>
                <w:szCs w:val="16"/>
              </w:rPr>
            </w:pPr>
            <w:r>
              <w:rPr>
                <w:rFonts w:hint="eastAsia" w:ascii="宋体" w:hAnsi="宋体" w:eastAsia="宋体" w:cs="宋体"/>
                <w:kern w:val="0"/>
                <w:sz w:val="16"/>
                <w:szCs w:val="16"/>
                <w:lang w:bidi="ar"/>
              </w:rPr>
              <w:t>公用经费合计</w:t>
            </w:r>
          </w:p>
        </w:tc>
        <w:tc>
          <w:tcPr>
            <w:tcW w:w="573" w:type="dxa"/>
            <w:tcBorders>
              <w:top w:val="nil"/>
              <w:left w:val="nil"/>
              <w:bottom w:val="single" w:color="000000" w:sz="4" w:space="0"/>
              <w:right w:val="single" w:color="000000" w:sz="4" w:space="0"/>
            </w:tcBorders>
            <w:tcMar>
              <w:top w:w="12" w:type="dxa"/>
              <w:left w:w="12" w:type="dxa"/>
              <w:right w:w="12" w:type="dxa"/>
            </w:tcMar>
            <w:vAlign w:val="center"/>
          </w:tcPr>
          <w:p>
            <w:pPr>
              <w:jc w:val="right"/>
              <w:rPr>
                <w:rFonts w:ascii="宋体" w:hAnsi="宋体" w:eastAsia="宋体" w:cs="宋体"/>
                <w:sz w:val="18"/>
                <w:szCs w:val="18"/>
              </w:rPr>
            </w:pPr>
            <w:r>
              <w:rPr>
                <w:rFonts w:hint="eastAsia" w:ascii="宋体" w:hAnsi="宋体" w:eastAsia="宋体" w:cs="宋体"/>
                <w:sz w:val="18"/>
                <w:szCs w:val="18"/>
              </w:rPr>
              <w:t>163.30</w:t>
            </w:r>
          </w:p>
        </w:tc>
      </w:tr>
      <w:tr>
        <w:tblPrEx>
          <w:tblCellMar>
            <w:top w:w="0" w:type="dxa"/>
            <w:left w:w="0" w:type="dxa"/>
            <w:bottom w:w="0" w:type="dxa"/>
            <w:right w:w="0" w:type="dxa"/>
          </w:tblCellMar>
        </w:tblPrEx>
        <w:trPr>
          <w:trHeight w:val="90" w:hRule="atLeast"/>
        </w:trPr>
        <w:tc>
          <w:tcPr>
            <w:tcW w:w="8898" w:type="dxa"/>
            <w:gridSpan w:val="12"/>
            <w:tcBorders>
              <w:top w:val="nil"/>
              <w:left w:val="nil"/>
              <w:bottom w:val="nil"/>
              <w:right w:val="nil"/>
            </w:tcBorders>
            <w:tcMar>
              <w:top w:w="12" w:type="dxa"/>
              <w:left w:w="12" w:type="dxa"/>
              <w:right w:w="12" w:type="dxa"/>
            </w:tcMar>
            <w:vAlign w:val="center"/>
          </w:tcPr>
          <w:p>
            <w:pPr>
              <w:widowControl/>
              <w:jc w:val="left"/>
              <w:textAlignment w:val="center"/>
              <w:rPr>
                <w:rFonts w:ascii="宋体" w:hAnsi="宋体" w:eastAsia="宋体" w:cs="宋体"/>
                <w:sz w:val="20"/>
              </w:rPr>
            </w:pPr>
            <w:r>
              <w:rPr>
                <w:rFonts w:hint="eastAsia" w:ascii="宋体" w:hAnsi="宋体" w:eastAsia="宋体" w:cs="宋体"/>
                <w:kern w:val="0"/>
                <w:sz w:val="20"/>
                <w:lang w:bidi="ar"/>
              </w:rPr>
              <w:t>注：本表反映部门本年度一般公共预算财政拨款基本支出明细情况。</w:t>
            </w:r>
          </w:p>
        </w:tc>
      </w:tr>
    </w:tbl>
    <w:p>
      <w:pPr>
        <w:jc w:val="center"/>
        <w:rPr>
          <w:rFonts w:ascii="黑体" w:hAnsi="黑体" w:eastAsia="黑体"/>
          <w:szCs w:val="32"/>
        </w:rPr>
      </w:pPr>
    </w:p>
    <w:p>
      <w:pPr>
        <w:jc w:val="center"/>
        <w:rPr>
          <w:rFonts w:ascii="黑体" w:hAnsi="黑体" w:eastAsia="黑体"/>
          <w:szCs w:val="32"/>
        </w:rPr>
      </w:pPr>
    </w:p>
    <w:p>
      <w:pPr>
        <w:pStyle w:val="2"/>
      </w:pPr>
    </w:p>
    <w:p>
      <w:pPr>
        <w:jc w:val="center"/>
        <w:rPr>
          <w:rFonts w:ascii="黑体" w:hAnsi="黑体" w:eastAsia="黑体"/>
          <w:szCs w:val="32"/>
        </w:rPr>
      </w:pPr>
      <w:r>
        <w:rPr>
          <w:rFonts w:hint="eastAsia" w:ascii="黑体" w:hAnsi="黑体" w:eastAsia="黑体"/>
          <w:szCs w:val="32"/>
        </w:rPr>
        <w:t>政府性基金预算财政拨款收入支出决算表</w:t>
      </w:r>
    </w:p>
    <w:p>
      <w:pPr>
        <w:jc w:val="right"/>
        <w:rPr>
          <w:rFonts w:ascii="黑体" w:hAnsi="黑体" w:eastAsia="黑体"/>
          <w:sz w:val="20"/>
        </w:rPr>
      </w:pPr>
      <w:r>
        <w:rPr>
          <w:rFonts w:hint="eastAsia" w:ascii="黑体" w:hAnsi="黑体" w:eastAsia="黑体"/>
          <w:sz w:val="20"/>
        </w:rPr>
        <w:t xml:space="preserve">                                                                              </w:t>
      </w:r>
      <w:r>
        <w:rPr>
          <w:rFonts w:hint="eastAsia" w:ascii="宋体" w:hAnsi="宋体" w:eastAsia="宋体" w:cs="宋体"/>
          <w:kern w:val="0"/>
          <w:sz w:val="20"/>
        </w:rPr>
        <w:t>公开07表</w:t>
      </w:r>
    </w:p>
    <w:tbl>
      <w:tblPr>
        <w:tblStyle w:val="4"/>
        <w:tblW w:w="0" w:type="auto"/>
        <w:tblInd w:w="93" w:type="dxa"/>
        <w:tblLayout w:type="fixed"/>
        <w:tblCellMar>
          <w:top w:w="0" w:type="dxa"/>
          <w:left w:w="108" w:type="dxa"/>
          <w:bottom w:w="0" w:type="dxa"/>
          <w:right w:w="108" w:type="dxa"/>
        </w:tblCellMar>
      </w:tblPr>
      <w:tblGrid>
        <w:gridCol w:w="371"/>
        <w:gridCol w:w="360"/>
        <w:gridCol w:w="404"/>
        <w:gridCol w:w="774"/>
        <w:gridCol w:w="491"/>
        <w:gridCol w:w="132"/>
        <w:gridCol w:w="338"/>
        <w:gridCol w:w="163"/>
        <w:gridCol w:w="477"/>
        <w:gridCol w:w="480"/>
        <w:gridCol w:w="70"/>
        <w:gridCol w:w="360"/>
        <w:gridCol w:w="117"/>
        <w:gridCol w:w="591"/>
        <w:gridCol w:w="236"/>
        <w:gridCol w:w="250"/>
        <w:gridCol w:w="180"/>
        <w:gridCol w:w="366"/>
        <w:gridCol w:w="477"/>
        <w:gridCol w:w="286"/>
        <w:gridCol w:w="208"/>
        <w:gridCol w:w="32"/>
        <w:gridCol w:w="456"/>
        <w:gridCol w:w="600"/>
        <w:gridCol w:w="641"/>
      </w:tblGrid>
      <w:tr>
        <w:tblPrEx>
          <w:tblCellMar>
            <w:top w:w="0" w:type="dxa"/>
            <w:left w:w="108" w:type="dxa"/>
            <w:bottom w:w="0" w:type="dxa"/>
            <w:right w:w="108" w:type="dxa"/>
          </w:tblCellMar>
        </w:tblPrEx>
        <w:trPr>
          <w:trHeight w:val="255" w:hRule="atLeast"/>
        </w:trPr>
        <w:tc>
          <w:tcPr>
            <w:tcW w:w="731" w:type="dxa"/>
            <w:gridSpan w:val="2"/>
            <w:tcBorders>
              <w:top w:val="nil"/>
              <w:left w:val="nil"/>
              <w:bottom w:val="nil"/>
              <w:right w:val="nil"/>
            </w:tcBorders>
            <w:vAlign w:val="bottom"/>
          </w:tcPr>
          <w:p>
            <w:pPr>
              <w:widowControl/>
              <w:jc w:val="left"/>
              <w:rPr>
                <w:rFonts w:ascii="宋体" w:hAnsi="宋体" w:eastAsia="宋体" w:cs="Arial"/>
                <w:kern w:val="0"/>
                <w:sz w:val="20"/>
              </w:rPr>
            </w:pPr>
            <w:r>
              <w:rPr>
                <w:rFonts w:hint="eastAsia" w:ascii="宋体" w:hAnsi="宋体" w:eastAsia="宋体" w:cs="Arial"/>
                <w:kern w:val="0"/>
                <w:sz w:val="20"/>
              </w:rPr>
              <w:t>部门：</w:t>
            </w:r>
          </w:p>
        </w:tc>
        <w:tc>
          <w:tcPr>
            <w:tcW w:w="404" w:type="dxa"/>
            <w:tcBorders>
              <w:top w:val="nil"/>
              <w:left w:val="nil"/>
              <w:bottom w:val="nil"/>
              <w:right w:val="nil"/>
            </w:tcBorders>
            <w:vAlign w:val="bottom"/>
          </w:tcPr>
          <w:p>
            <w:pPr>
              <w:widowControl/>
              <w:jc w:val="left"/>
              <w:rPr>
                <w:rFonts w:ascii="Arial" w:hAnsi="Arial" w:eastAsia="宋体" w:cs="Arial"/>
                <w:kern w:val="0"/>
                <w:sz w:val="20"/>
              </w:rPr>
            </w:pPr>
          </w:p>
        </w:tc>
        <w:tc>
          <w:tcPr>
            <w:tcW w:w="774" w:type="dxa"/>
            <w:tcBorders>
              <w:top w:val="nil"/>
              <w:left w:val="nil"/>
              <w:bottom w:val="nil"/>
              <w:right w:val="nil"/>
            </w:tcBorders>
            <w:vAlign w:val="bottom"/>
          </w:tcPr>
          <w:p>
            <w:pPr>
              <w:widowControl/>
              <w:jc w:val="left"/>
              <w:rPr>
                <w:rFonts w:ascii="Arial" w:hAnsi="Arial" w:eastAsia="宋体" w:cs="Arial"/>
                <w:kern w:val="0"/>
                <w:sz w:val="20"/>
              </w:rPr>
            </w:pPr>
          </w:p>
        </w:tc>
        <w:tc>
          <w:tcPr>
            <w:tcW w:w="491" w:type="dxa"/>
            <w:tcBorders>
              <w:top w:val="nil"/>
              <w:left w:val="nil"/>
              <w:bottom w:val="nil"/>
              <w:right w:val="nil"/>
            </w:tcBorders>
            <w:vAlign w:val="bottom"/>
          </w:tcPr>
          <w:p>
            <w:pPr>
              <w:widowControl/>
              <w:jc w:val="left"/>
              <w:rPr>
                <w:rFonts w:ascii="Arial" w:hAnsi="Arial" w:eastAsia="宋体" w:cs="Arial"/>
                <w:kern w:val="0"/>
                <w:sz w:val="20"/>
              </w:rPr>
            </w:pPr>
          </w:p>
        </w:tc>
        <w:tc>
          <w:tcPr>
            <w:tcW w:w="470" w:type="dxa"/>
            <w:gridSpan w:val="2"/>
            <w:tcBorders>
              <w:top w:val="nil"/>
              <w:left w:val="nil"/>
              <w:bottom w:val="nil"/>
              <w:right w:val="nil"/>
            </w:tcBorders>
            <w:vAlign w:val="bottom"/>
          </w:tcPr>
          <w:p>
            <w:pPr>
              <w:widowControl/>
              <w:jc w:val="left"/>
              <w:rPr>
                <w:rFonts w:ascii="Arial" w:hAnsi="Arial" w:eastAsia="宋体" w:cs="Arial"/>
                <w:kern w:val="0"/>
                <w:sz w:val="20"/>
              </w:rPr>
            </w:pPr>
          </w:p>
        </w:tc>
        <w:tc>
          <w:tcPr>
            <w:tcW w:w="640" w:type="dxa"/>
            <w:gridSpan w:val="2"/>
            <w:tcBorders>
              <w:top w:val="nil"/>
              <w:left w:val="nil"/>
              <w:bottom w:val="nil"/>
              <w:right w:val="nil"/>
            </w:tcBorders>
            <w:vAlign w:val="bottom"/>
          </w:tcPr>
          <w:p>
            <w:pPr>
              <w:widowControl/>
              <w:jc w:val="left"/>
              <w:rPr>
                <w:rFonts w:ascii="Arial" w:hAnsi="Arial" w:eastAsia="宋体" w:cs="Arial"/>
                <w:kern w:val="0"/>
                <w:sz w:val="20"/>
              </w:rPr>
            </w:pPr>
          </w:p>
        </w:tc>
        <w:tc>
          <w:tcPr>
            <w:tcW w:w="480" w:type="dxa"/>
            <w:tcBorders>
              <w:top w:val="nil"/>
              <w:left w:val="nil"/>
              <w:bottom w:val="nil"/>
              <w:right w:val="nil"/>
            </w:tcBorders>
            <w:vAlign w:val="bottom"/>
          </w:tcPr>
          <w:p>
            <w:pPr>
              <w:widowControl/>
              <w:jc w:val="left"/>
              <w:rPr>
                <w:rFonts w:ascii="Arial" w:hAnsi="Arial" w:eastAsia="宋体" w:cs="Arial"/>
                <w:kern w:val="0"/>
                <w:sz w:val="20"/>
              </w:rPr>
            </w:pPr>
          </w:p>
        </w:tc>
        <w:tc>
          <w:tcPr>
            <w:tcW w:w="430" w:type="dxa"/>
            <w:gridSpan w:val="2"/>
            <w:tcBorders>
              <w:top w:val="nil"/>
              <w:left w:val="nil"/>
              <w:bottom w:val="nil"/>
              <w:right w:val="nil"/>
            </w:tcBorders>
            <w:vAlign w:val="bottom"/>
          </w:tcPr>
          <w:p>
            <w:pPr>
              <w:widowControl/>
              <w:jc w:val="left"/>
              <w:rPr>
                <w:rFonts w:ascii="Arial" w:hAnsi="Arial" w:eastAsia="宋体" w:cs="Arial"/>
                <w:kern w:val="0"/>
                <w:sz w:val="20"/>
              </w:rPr>
            </w:pPr>
          </w:p>
        </w:tc>
        <w:tc>
          <w:tcPr>
            <w:tcW w:w="708" w:type="dxa"/>
            <w:gridSpan w:val="2"/>
            <w:tcBorders>
              <w:top w:val="nil"/>
              <w:left w:val="nil"/>
              <w:bottom w:val="nil"/>
              <w:right w:val="nil"/>
            </w:tcBorders>
            <w:vAlign w:val="bottom"/>
          </w:tcPr>
          <w:p>
            <w:pPr>
              <w:widowControl/>
              <w:jc w:val="left"/>
              <w:rPr>
                <w:rFonts w:ascii="Arial" w:hAnsi="Arial" w:eastAsia="宋体" w:cs="Arial"/>
                <w:kern w:val="0"/>
                <w:sz w:val="20"/>
              </w:rPr>
            </w:pPr>
          </w:p>
        </w:tc>
        <w:tc>
          <w:tcPr>
            <w:tcW w:w="236" w:type="dxa"/>
            <w:tcBorders>
              <w:top w:val="nil"/>
              <w:left w:val="nil"/>
              <w:bottom w:val="nil"/>
              <w:right w:val="nil"/>
            </w:tcBorders>
            <w:vAlign w:val="bottom"/>
          </w:tcPr>
          <w:p>
            <w:pPr>
              <w:widowControl/>
              <w:jc w:val="left"/>
              <w:rPr>
                <w:rFonts w:ascii="Arial" w:hAnsi="Arial" w:eastAsia="宋体" w:cs="Arial"/>
                <w:kern w:val="0"/>
                <w:sz w:val="20"/>
              </w:rPr>
            </w:pPr>
          </w:p>
        </w:tc>
        <w:tc>
          <w:tcPr>
            <w:tcW w:w="430" w:type="dxa"/>
            <w:gridSpan w:val="2"/>
            <w:tcBorders>
              <w:top w:val="nil"/>
              <w:left w:val="nil"/>
              <w:bottom w:val="nil"/>
              <w:right w:val="nil"/>
            </w:tcBorders>
            <w:vAlign w:val="bottom"/>
          </w:tcPr>
          <w:p>
            <w:pPr>
              <w:widowControl/>
              <w:jc w:val="left"/>
              <w:rPr>
                <w:rFonts w:ascii="Arial" w:hAnsi="Arial" w:eastAsia="宋体" w:cs="Arial"/>
                <w:kern w:val="0"/>
                <w:sz w:val="20"/>
              </w:rPr>
            </w:pPr>
          </w:p>
        </w:tc>
        <w:tc>
          <w:tcPr>
            <w:tcW w:w="843" w:type="dxa"/>
            <w:gridSpan w:val="2"/>
            <w:tcBorders>
              <w:top w:val="nil"/>
              <w:left w:val="nil"/>
              <w:bottom w:val="nil"/>
              <w:right w:val="nil"/>
            </w:tcBorders>
            <w:vAlign w:val="bottom"/>
          </w:tcPr>
          <w:p>
            <w:pPr>
              <w:widowControl/>
              <w:jc w:val="left"/>
              <w:rPr>
                <w:rFonts w:ascii="Arial" w:hAnsi="Arial" w:eastAsia="宋体" w:cs="Arial"/>
                <w:kern w:val="0"/>
                <w:sz w:val="20"/>
              </w:rPr>
            </w:pPr>
          </w:p>
        </w:tc>
        <w:tc>
          <w:tcPr>
            <w:tcW w:w="286" w:type="dxa"/>
            <w:tcBorders>
              <w:top w:val="nil"/>
              <w:left w:val="nil"/>
              <w:bottom w:val="nil"/>
              <w:right w:val="nil"/>
            </w:tcBorders>
            <w:vAlign w:val="bottom"/>
          </w:tcPr>
          <w:p>
            <w:pPr>
              <w:widowControl/>
              <w:jc w:val="left"/>
              <w:rPr>
                <w:rFonts w:ascii="Arial" w:hAnsi="Arial" w:eastAsia="宋体" w:cs="Arial"/>
                <w:kern w:val="0"/>
                <w:sz w:val="20"/>
              </w:rPr>
            </w:pPr>
          </w:p>
        </w:tc>
        <w:tc>
          <w:tcPr>
            <w:tcW w:w="240" w:type="dxa"/>
            <w:gridSpan w:val="2"/>
            <w:tcBorders>
              <w:top w:val="nil"/>
              <w:left w:val="nil"/>
              <w:bottom w:val="nil"/>
              <w:right w:val="nil"/>
            </w:tcBorders>
            <w:vAlign w:val="bottom"/>
          </w:tcPr>
          <w:p>
            <w:pPr>
              <w:widowControl/>
              <w:jc w:val="left"/>
              <w:rPr>
                <w:rFonts w:ascii="Arial" w:hAnsi="Arial" w:eastAsia="宋体" w:cs="Arial"/>
                <w:kern w:val="0"/>
                <w:sz w:val="20"/>
              </w:rPr>
            </w:pPr>
          </w:p>
        </w:tc>
        <w:tc>
          <w:tcPr>
            <w:tcW w:w="1697" w:type="dxa"/>
            <w:gridSpan w:val="3"/>
            <w:tcBorders>
              <w:top w:val="nil"/>
              <w:left w:val="nil"/>
              <w:bottom w:val="nil"/>
              <w:right w:val="nil"/>
            </w:tcBorders>
            <w:vAlign w:val="bottom"/>
          </w:tcPr>
          <w:p>
            <w:pPr>
              <w:widowControl/>
              <w:rPr>
                <w:rFonts w:ascii="宋体" w:hAnsi="宋体" w:eastAsia="宋体" w:cs="Arial"/>
                <w:kern w:val="0"/>
                <w:sz w:val="20"/>
              </w:rPr>
            </w:pPr>
            <w:r>
              <w:rPr>
                <w:rFonts w:hint="eastAsia" w:ascii="宋体" w:hAnsi="宋体" w:eastAsia="宋体" w:cs="Arial"/>
                <w:kern w:val="0"/>
                <w:sz w:val="20"/>
              </w:rPr>
              <w:t xml:space="preserve"> 金额单位：万元</w:t>
            </w:r>
          </w:p>
        </w:tc>
      </w:tr>
      <w:tr>
        <w:tblPrEx>
          <w:tblCellMar>
            <w:top w:w="0" w:type="dxa"/>
            <w:left w:w="108" w:type="dxa"/>
            <w:bottom w:w="0" w:type="dxa"/>
            <w:right w:w="108" w:type="dxa"/>
          </w:tblCellMar>
        </w:tblPrEx>
        <w:trPr>
          <w:trHeight w:val="465" w:hRule="atLeast"/>
        </w:trPr>
        <w:tc>
          <w:tcPr>
            <w:tcW w:w="1135" w:type="dxa"/>
            <w:gridSpan w:val="3"/>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科目代码</w:t>
            </w:r>
          </w:p>
        </w:tc>
        <w:tc>
          <w:tcPr>
            <w:tcW w:w="774" w:type="dxa"/>
            <w:vMerge w:val="restart"/>
            <w:tcBorders>
              <w:top w:val="single" w:color="000000" w:sz="4" w:space="0"/>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科目名称</w:t>
            </w:r>
          </w:p>
        </w:tc>
        <w:tc>
          <w:tcPr>
            <w:tcW w:w="1601" w:type="dxa"/>
            <w:gridSpan w:val="5"/>
            <w:tcBorders>
              <w:top w:val="single" w:color="000000" w:sz="4" w:space="0"/>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年初结转和结余</w:t>
            </w:r>
          </w:p>
        </w:tc>
        <w:tc>
          <w:tcPr>
            <w:tcW w:w="1618" w:type="dxa"/>
            <w:gridSpan w:val="5"/>
            <w:tcBorders>
              <w:top w:val="single" w:color="000000" w:sz="4" w:space="0"/>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本年收入</w:t>
            </w:r>
          </w:p>
        </w:tc>
        <w:tc>
          <w:tcPr>
            <w:tcW w:w="1509" w:type="dxa"/>
            <w:gridSpan w:val="5"/>
            <w:tcBorders>
              <w:top w:val="single" w:color="000000" w:sz="4" w:space="0"/>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本年支出</w:t>
            </w:r>
          </w:p>
        </w:tc>
        <w:tc>
          <w:tcPr>
            <w:tcW w:w="2223" w:type="dxa"/>
            <w:gridSpan w:val="6"/>
            <w:tcBorders>
              <w:top w:val="single" w:color="000000" w:sz="4" w:space="0"/>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年末结转和结余</w:t>
            </w:r>
          </w:p>
        </w:tc>
      </w:tr>
      <w:tr>
        <w:tblPrEx>
          <w:tblCellMar>
            <w:top w:w="0" w:type="dxa"/>
            <w:left w:w="108" w:type="dxa"/>
            <w:bottom w:w="0" w:type="dxa"/>
            <w:right w:w="108" w:type="dxa"/>
          </w:tblCellMar>
        </w:tblPrEx>
        <w:trPr>
          <w:trHeight w:val="615" w:hRule="atLeast"/>
        </w:trPr>
        <w:tc>
          <w:tcPr>
            <w:tcW w:w="11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774" w:type="dxa"/>
            <w:vMerge w:val="continue"/>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623" w:type="dxa"/>
            <w:gridSpan w:val="2"/>
            <w:vMerge w:val="restart"/>
            <w:tcBorders>
              <w:top w:val="nil"/>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合计</w:t>
            </w:r>
          </w:p>
        </w:tc>
        <w:tc>
          <w:tcPr>
            <w:tcW w:w="501" w:type="dxa"/>
            <w:gridSpan w:val="2"/>
            <w:vMerge w:val="restart"/>
            <w:tcBorders>
              <w:top w:val="nil"/>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基本支出结转</w:t>
            </w:r>
          </w:p>
        </w:tc>
        <w:tc>
          <w:tcPr>
            <w:tcW w:w="477" w:type="dxa"/>
            <w:vMerge w:val="restart"/>
            <w:tcBorders>
              <w:top w:val="nil"/>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项目支出结转和结余</w:t>
            </w:r>
          </w:p>
        </w:tc>
        <w:tc>
          <w:tcPr>
            <w:tcW w:w="550" w:type="dxa"/>
            <w:gridSpan w:val="2"/>
            <w:vMerge w:val="restart"/>
            <w:tcBorders>
              <w:top w:val="nil"/>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合计</w:t>
            </w:r>
          </w:p>
        </w:tc>
        <w:tc>
          <w:tcPr>
            <w:tcW w:w="477" w:type="dxa"/>
            <w:gridSpan w:val="2"/>
            <w:vMerge w:val="restart"/>
            <w:tcBorders>
              <w:top w:val="nil"/>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基本支出</w:t>
            </w:r>
          </w:p>
        </w:tc>
        <w:tc>
          <w:tcPr>
            <w:tcW w:w="591" w:type="dxa"/>
            <w:vMerge w:val="restart"/>
            <w:tcBorders>
              <w:top w:val="nil"/>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项目支出</w:t>
            </w:r>
          </w:p>
        </w:tc>
        <w:tc>
          <w:tcPr>
            <w:tcW w:w="486" w:type="dxa"/>
            <w:gridSpan w:val="2"/>
            <w:vMerge w:val="restart"/>
            <w:tcBorders>
              <w:top w:val="nil"/>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合计</w:t>
            </w:r>
          </w:p>
        </w:tc>
        <w:tc>
          <w:tcPr>
            <w:tcW w:w="546" w:type="dxa"/>
            <w:gridSpan w:val="2"/>
            <w:vMerge w:val="restart"/>
            <w:tcBorders>
              <w:top w:val="nil"/>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基本支出</w:t>
            </w:r>
          </w:p>
        </w:tc>
        <w:tc>
          <w:tcPr>
            <w:tcW w:w="477" w:type="dxa"/>
            <w:vMerge w:val="restart"/>
            <w:tcBorders>
              <w:top w:val="nil"/>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项目支出</w:t>
            </w:r>
          </w:p>
        </w:tc>
        <w:tc>
          <w:tcPr>
            <w:tcW w:w="494" w:type="dxa"/>
            <w:gridSpan w:val="2"/>
            <w:vMerge w:val="restart"/>
            <w:tcBorders>
              <w:top w:val="nil"/>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合计</w:t>
            </w:r>
          </w:p>
        </w:tc>
        <w:tc>
          <w:tcPr>
            <w:tcW w:w="488" w:type="dxa"/>
            <w:gridSpan w:val="2"/>
            <w:vMerge w:val="restart"/>
            <w:tcBorders>
              <w:top w:val="nil"/>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基本支出结转</w:t>
            </w:r>
          </w:p>
        </w:tc>
        <w:tc>
          <w:tcPr>
            <w:tcW w:w="1241" w:type="dxa"/>
            <w:gridSpan w:val="2"/>
            <w:tcBorders>
              <w:top w:val="nil"/>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项目支出结转和结余</w:t>
            </w:r>
          </w:p>
        </w:tc>
      </w:tr>
      <w:tr>
        <w:tblPrEx>
          <w:tblCellMar>
            <w:top w:w="0" w:type="dxa"/>
            <w:left w:w="108" w:type="dxa"/>
            <w:bottom w:w="0" w:type="dxa"/>
            <w:right w:w="108" w:type="dxa"/>
          </w:tblCellMar>
        </w:tblPrEx>
        <w:trPr>
          <w:trHeight w:val="312" w:hRule="atLeast"/>
        </w:trPr>
        <w:tc>
          <w:tcPr>
            <w:tcW w:w="11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774" w:type="dxa"/>
            <w:vMerge w:val="continue"/>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623"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501"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477"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550"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477"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591"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486"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546"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477"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494"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488"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600" w:type="dxa"/>
            <w:vMerge w:val="restart"/>
            <w:tcBorders>
              <w:top w:val="nil"/>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项目支出结转</w:t>
            </w:r>
          </w:p>
        </w:tc>
        <w:tc>
          <w:tcPr>
            <w:tcW w:w="641" w:type="dxa"/>
            <w:vMerge w:val="restart"/>
            <w:tcBorders>
              <w:top w:val="nil"/>
              <w:left w:val="nil"/>
              <w:bottom w:val="single" w:color="000000" w:sz="4" w:space="0"/>
              <w:right w:val="single" w:color="000000"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项目支出结余</w:t>
            </w:r>
          </w:p>
        </w:tc>
      </w:tr>
      <w:tr>
        <w:tblPrEx>
          <w:tblCellMar>
            <w:top w:w="0" w:type="dxa"/>
            <w:left w:w="108" w:type="dxa"/>
            <w:bottom w:w="0" w:type="dxa"/>
            <w:right w:w="108" w:type="dxa"/>
          </w:tblCellMar>
        </w:tblPrEx>
        <w:trPr>
          <w:trHeight w:val="615" w:hRule="atLeast"/>
        </w:trPr>
        <w:tc>
          <w:tcPr>
            <w:tcW w:w="1135"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774" w:type="dxa"/>
            <w:vMerge w:val="continue"/>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623"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501"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477"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550"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477"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591"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486"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546"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477"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494"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488" w:type="dxa"/>
            <w:gridSpan w:val="2"/>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600"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c>
          <w:tcPr>
            <w:tcW w:w="641"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kern w:val="0"/>
                <w:sz w:val="22"/>
                <w:szCs w:val="22"/>
              </w:rPr>
            </w:pPr>
          </w:p>
        </w:tc>
      </w:tr>
      <w:tr>
        <w:tblPrEx>
          <w:tblCellMar>
            <w:top w:w="0" w:type="dxa"/>
            <w:left w:w="108" w:type="dxa"/>
            <w:bottom w:w="0" w:type="dxa"/>
            <w:right w:w="108" w:type="dxa"/>
          </w:tblCellMar>
        </w:tblPrEx>
        <w:trPr>
          <w:trHeight w:val="308" w:hRule="atLeast"/>
        </w:trPr>
        <w:tc>
          <w:tcPr>
            <w:tcW w:w="37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eastAsia="宋体" w:cs="Arial"/>
                <w:kern w:val="0"/>
                <w:sz w:val="22"/>
                <w:szCs w:val="22"/>
              </w:rPr>
            </w:pPr>
            <w:r>
              <w:rPr>
                <w:rFonts w:hint="eastAsia" w:ascii="宋体" w:hAnsi="宋体" w:eastAsia="宋体" w:cs="宋体"/>
                <w:kern w:val="0"/>
                <w:sz w:val="22"/>
                <w:szCs w:val="22"/>
                <w:lang w:bidi="ar"/>
              </w:rPr>
              <w:t>类</w:t>
            </w:r>
          </w:p>
        </w:tc>
        <w:tc>
          <w:tcPr>
            <w:tcW w:w="360" w:type="dxa"/>
            <w:vMerge w:val="restart"/>
            <w:tcBorders>
              <w:top w:val="single" w:color="auto" w:sz="4" w:space="0"/>
              <w:left w:val="nil"/>
              <w:bottom w:val="single" w:color="auto" w:sz="4" w:space="0"/>
              <w:right w:val="single" w:color="auto" w:sz="4" w:space="0"/>
            </w:tcBorders>
            <w:vAlign w:val="center"/>
          </w:tcPr>
          <w:p>
            <w:pPr>
              <w:widowControl/>
              <w:jc w:val="center"/>
              <w:textAlignment w:val="center"/>
              <w:rPr>
                <w:rFonts w:ascii="宋体" w:hAnsi="宋体" w:eastAsia="宋体" w:cs="Arial"/>
                <w:kern w:val="0"/>
                <w:sz w:val="22"/>
                <w:szCs w:val="22"/>
              </w:rPr>
            </w:pPr>
            <w:r>
              <w:rPr>
                <w:rFonts w:hint="eastAsia" w:ascii="宋体" w:hAnsi="宋体" w:eastAsia="宋体" w:cs="宋体"/>
                <w:kern w:val="0"/>
                <w:sz w:val="22"/>
                <w:szCs w:val="22"/>
                <w:lang w:bidi="ar"/>
              </w:rPr>
              <w:t>款</w:t>
            </w:r>
          </w:p>
        </w:tc>
        <w:tc>
          <w:tcPr>
            <w:tcW w:w="404" w:type="dxa"/>
            <w:vMerge w:val="restart"/>
            <w:tcBorders>
              <w:top w:val="single" w:color="auto" w:sz="4" w:space="0"/>
              <w:left w:val="nil"/>
              <w:bottom w:val="single" w:color="auto" w:sz="4" w:space="0"/>
              <w:right w:val="single" w:color="auto" w:sz="4" w:space="0"/>
            </w:tcBorders>
            <w:vAlign w:val="center"/>
          </w:tcPr>
          <w:p>
            <w:pPr>
              <w:widowControl/>
              <w:jc w:val="center"/>
              <w:textAlignment w:val="center"/>
              <w:rPr>
                <w:rFonts w:ascii="宋体" w:hAnsi="宋体" w:eastAsia="宋体" w:cs="Arial"/>
                <w:kern w:val="0"/>
                <w:sz w:val="22"/>
                <w:szCs w:val="22"/>
              </w:rPr>
            </w:pPr>
            <w:r>
              <w:rPr>
                <w:rFonts w:hint="eastAsia" w:ascii="宋体" w:hAnsi="宋体" w:eastAsia="宋体" w:cs="宋体"/>
                <w:kern w:val="0"/>
                <w:sz w:val="22"/>
                <w:szCs w:val="22"/>
                <w:lang w:bidi="ar"/>
              </w:rPr>
              <w:t>项</w:t>
            </w:r>
          </w:p>
        </w:tc>
        <w:tc>
          <w:tcPr>
            <w:tcW w:w="774" w:type="dxa"/>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s="Arial"/>
                <w:kern w:val="0"/>
                <w:sz w:val="22"/>
                <w:szCs w:val="22"/>
              </w:rPr>
            </w:pPr>
            <w:r>
              <w:rPr>
                <w:rFonts w:hint="eastAsia" w:ascii="宋体" w:hAnsi="宋体" w:eastAsia="宋体" w:cs="宋体"/>
                <w:kern w:val="0"/>
                <w:sz w:val="22"/>
                <w:szCs w:val="22"/>
                <w:lang w:bidi="ar"/>
              </w:rPr>
              <w:t>栏次</w:t>
            </w:r>
          </w:p>
        </w:tc>
        <w:tc>
          <w:tcPr>
            <w:tcW w:w="623" w:type="dxa"/>
            <w:gridSpan w:val="2"/>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s="Arial"/>
                <w:b/>
                <w:bCs/>
                <w:kern w:val="0"/>
                <w:sz w:val="22"/>
                <w:szCs w:val="22"/>
              </w:rPr>
            </w:pPr>
            <w:r>
              <w:rPr>
                <w:rFonts w:hint="eastAsia" w:ascii="宋体" w:hAnsi="宋体" w:eastAsia="宋体" w:cs="宋体"/>
                <w:kern w:val="0"/>
                <w:sz w:val="22"/>
                <w:szCs w:val="22"/>
                <w:lang w:bidi="ar"/>
              </w:rPr>
              <w:t>1</w:t>
            </w:r>
          </w:p>
        </w:tc>
        <w:tc>
          <w:tcPr>
            <w:tcW w:w="501" w:type="dxa"/>
            <w:gridSpan w:val="2"/>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s="Arial"/>
                <w:b/>
                <w:bCs/>
                <w:kern w:val="0"/>
                <w:sz w:val="22"/>
                <w:szCs w:val="22"/>
              </w:rPr>
            </w:pPr>
            <w:r>
              <w:rPr>
                <w:rFonts w:hint="eastAsia" w:ascii="宋体" w:hAnsi="宋体" w:eastAsia="宋体" w:cs="宋体"/>
                <w:kern w:val="0"/>
                <w:sz w:val="22"/>
                <w:szCs w:val="22"/>
                <w:lang w:bidi="ar"/>
              </w:rPr>
              <w:t>2</w:t>
            </w:r>
          </w:p>
        </w:tc>
        <w:tc>
          <w:tcPr>
            <w:tcW w:w="477" w:type="dxa"/>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s="Arial"/>
                <w:b/>
                <w:bCs/>
                <w:kern w:val="0"/>
                <w:sz w:val="22"/>
                <w:szCs w:val="22"/>
              </w:rPr>
            </w:pPr>
            <w:r>
              <w:rPr>
                <w:rFonts w:hint="eastAsia" w:ascii="宋体" w:hAnsi="宋体" w:eastAsia="宋体" w:cs="宋体"/>
                <w:kern w:val="0"/>
                <w:sz w:val="22"/>
                <w:szCs w:val="22"/>
                <w:lang w:bidi="ar"/>
              </w:rPr>
              <w:t>3</w:t>
            </w:r>
          </w:p>
        </w:tc>
        <w:tc>
          <w:tcPr>
            <w:tcW w:w="550" w:type="dxa"/>
            <w:gridSpan w:val="2"/>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s="Arial"/>
                <w:b/>
                <w:bCs/>
                <w:kern w:val="0"/>
                <w:sz w:val="22"/>
                <w:szCs w:val="22"/>
              </w:rPr>
            </w:pPr>
            <w:r>
              <w:rPr>
                <w:rFonts w:hint="eastAsia" w:ascii="宋体" w:hAnsi="宋体" w:eastAsia="宋体" w:cs="宋体"/>
                <w:kern w:val="0"/>
                <w:sz w:val="22"/>
                <w:szCs w:val="22"/>
                <w:lang w:bidi="ar"/>
              </w:rPr>
              <w:t>4</w:t>
            </w:r>
          </w:p>
        </w:tc>
        <w:tc>
          <w:tcPr>
            <w:tcW w:w="477" w:type="dxa"/>
            <w:gridSpan w:val="2"/>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s="Arial"/>
                <w:b/>
                <w:bCs/>
                <w:kern w:val="0"/>
                <w:sz w:val="22"/>
                <w:szCs w:val="22"/>
              </w:rPr>
            </w:pPr>
            <w:r>
              <w:rPr>
                <w:rFonts w:hint="eastAsia" w:ascii="宋体" w:hAnsi="宋体" w:eastAsia="宋体" w:cs="宋体"/>
                <w:kern w:val="0"/>
                <w:sz w:val="22"/>
                <w:szCs w:val="22"/>
                <w:lang w:bidi="ar"/>
              </w:rPr>
              <w:t>5</w:t>
            </w:r>
          </w:p>
        </w:tc>
        <w:tc>
          <w:tcPr>
            <w:tcW w:w="591" w:type="dxa"/>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s="Arial"/>
                <w:b/>
                <w:bCs/>
                <w:kern w:val="0"/>
                <w:sz w:val="22"/>
                <w:szCs w:val="22"/>
              </w:rPr>
            </w:pPr>
            <w:r>
              <w:rPr>
                <w:rFonts w:hint="eastAsia" w:ascii="宋体" w:hAnsi="宋体" w:eastAsia="宋体" w:cs="宋体"/>
                <w:kern w:val="0"/>
                <w:sz w:val="22"/>
                <w:szCs w:val="22"/>
                <w:lang w:bidi="ar"/>
              </w:rPr>
              <w:t>6</w:t>
            </w:r>
          </w:p>
        </w:tc>
        <w:tc>
          <w:tcPr>
            <w:tcW w:w="486" w:type="dxa"/>
            <w:gridSpan w:val="2"/>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s="Arial"/>
                <w:b/>
                <w:bCs/>
                <w:kern w:val="0"/>
                <w:sz w:val="22"/>
                <w:szCs w:val="22"/>
              </w:rPr>
            </w:pPr>
            <w:r>
              <w:rPr>
                <w:rFonts w:hint="eastAsia" w:ascii="宋体" w:hAnsi="宋体" w:eastAsia="宋体" w:cs="宋体"/>
                <w:kern w:val="0"/>
                <w:sz w:val="22"/>
                <w:szCs w:val="22"/>
                <w:lang w:bidi="ar"/>
              </w:rPr>
              <w:t>7</w:t>
            </w:r>
          </w:p>
        </w:tc>
        <w:tc>
          <w:tcPr>
            <w:tcW w:w="546" w:type="dxa"/>
            <w:gridSpan w:val="2"/>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s="Arial"/>
                <w:b/>
                <w:bCs/>
                <w:kern w:val="0"/>
                <w:sz w:val="22"/>
                <w:szCs w:val="22"/>
              </w:rPr>
            </w:pPr>
            <w:r>
              <w:rPr>
                <w:rFonts w:hint="eastAsia" w:ascii="宋体" w:hAnsi="宋体" w:eastAsia="宋体" w:cs="宋体"/>
                <w:kern w:val="0"/>
                <w:sz w:val="22"/>
                <w:szCs w:val="22"/>
                <w:lang w:bidi="ar"/>
              </w:rPr>
              <w:t>8</w:t>
            </w:r>
          </w:p>
        </w:tc>
        <w:tc>
          <w:tcPr>
            <w:tcW w:w="477" w:type="dxa"/>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s="Arial"/>
                <w:b/>
                <w:bCs/>
                <w:kern w:val="0"/>
                <w:sz w:val="22"/>
                <w:szCs w:val="22"/>
              </w:rPr>
            </w:pPr>
            <w:r>
              <w:rPr>
                <w:rFonts w:hint="eastAsia" w:ascii="宋体" w:hAnsi="宋体" w:eastAsia="宋体" w:cs="宋体"/>
                <w:kern w:val="0"/>
                <w:sz w:val="22"/>
                <w:szCs w:val="22"/>
                <w:lang w:bidi="ar"/>
              </w:rPr>
              <w:t>9</w:t>
            </w:r>
          </w:p>
        </w:tc>
        <w:tc>
          <w:tcPr>
            <w:tcW w:w="494" w:type="dxa"/>
            <w:gridSpan w:val="2"/>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s="Arial"/>
                <w:b/>
                <w:bCs/>
                <w:kern w:val="0"/>
                <w:sz w:val="22"/>
                <w:szCs w:val="22"/>
              </w:rPr>
            </w:pPr>
            <w:r>
              <w:rPr>
                <w:rFonts w:hint="eastAsia" w:ascii="宋体" w:hAnsi="宋体" w:eastAsia="宋体" w:cs="宋体"/>
                <w:kern w:val="0"/>
                <w:sz w:val="22"/>
                <w:szCs w:val="22"/>
                <w:lang w:bidi="ar"/>
              </w:rPr>
              <w:t>10</w:t>
            </w:r>
          </w:p>
        </w:tc>
        <w:tc>
          <w:tcPr>
            <w:tcW w:w="488" w:type="dxa"/>
            <w:gridSpan w:val="2"/>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s="Arial"/>
                <w:b/>
                <w:bCs/>
                <w:kern w:val="0"/>
                <w:sz w:val="22"/>
                <w:szCs w:val="22"/>
              </w:rPr>
            </w:pPr>
            <w:r>
              <w:rPr>
                <w:rFonts w:hint="eastAsia" w:ascii="宋体" w:hAnsi="宋体" w:eastAsia="宋体" w:cs="宋体"/>
                <w:kern w:val="0"/>
                <w:sz w:val="22"/>
                <w:szCs w:val="22"/>
                <w:lang w:bidi="ar"/>
              </w:rPr>
              <w:t>11</w:t>
            </w:r>
          </w:p>
        </w:tc>
        <w:tc>
          <w:tcPr>
            <w:tcW w:w="600" w:type="dxa"/>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s="Arial"/>
                <w:b/>
                <w:bCs/>
                <w:kern w:val="0"/>
                <w:sz w:val="22"/>
                <w:szCs w:val="22"/>
              </w:rPr>
            </w:pPr>
            <w:r>
              <w:rPr>
                <w:rFonts w:hint="eastAsia" w:ascii="宋体" w:hAnsi="宋体" w:eastAsia="宋体" w:cs="宋体"/>
                <w:kern w:val="0"/>
                <w:sz w:val="22"/>
                <w:szCs w:val="22"/>
                <w:lang w:bidi="ar"/>
              </w:rPr>
              <w:t>12</w:t>
            </w:r>
          </w:p>
        </w:tc>
        <w:tc>
          <w:tcPr>
            <w:tcW w:w="641" w:type="dxa"/>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s="Arial"/>
                <w:b/>
                <w:bCs/>
                <w:kern w:val="0"/>
                <w:sz w:val="22"/>
                <w:szCs w:val="22"/>
              </w:rPr>
            </w:pPr>
            <w:r>
              <w:rPr>
                <w:rFonts w:hint="eastAsia" w:ascii="宋体" w:hAnsi="宋体" w:eastAsia="宋体" w:cs="宋体"/>
                <w:kern w:val="0"/>
                <w:sz w:val="22"/>
                <w:szCs w:val="22"/>
                <w:lang w:bidi="ar"/>
              </w:rPr>
              <w:t>13</w:t>
            </w:r>
          </w:p>
        </w:tc>
      </w:tr>
      <w:tr>
        <w:tblPrEx>
          <w:tblCellMar>
            <w:top w:w="0" w:type="dxa"/>
            <w:left w:w="108" w:type="dxa"/>
            <w:bottom w:w="0" w:type="dxa"/>
            <w:right w:w="108" w:type="dxa"/>
          </w:tblCellMar>
        </w:tblPrEx>
        <w:trPr>
          <w:trHeight w:val="500" w:hRule="atLeast"/>
        </w:trPr>
        <w:tc>
          <w:tcPr>
            <w:tcW w:w="371" w:type="dxa"/>
            <w:vMerge w:val="continue"/>
            <w:tcBorders>
              <w:top w:val="nil"/>
              <w:left w:val="single" w:color="000000" w:sz="4" w:space="0"/>
              <w:bottom w:val="single" w:color="000000" w:sz="4" w:space="0"/>
              <w:right w:val="single" w:color="000000" w:sz="4" w:space="0"/>
            </w:tcBorders>
            <w:vAlign w:val="center"/>
          </w:tcPr>
          <w:p>
            <w:pPr>
              <w:jc w:val="center"/>
              <w:rPr>
                <w:rFonts w:ascii="宋体" w:hAnsi="宋体" w:eastAsia="宋体" w:cs="Arial"/>
                <w:kern w:val="0"/>
                <w:sz w:val="22"/>
                <w:szCs w:val="22"/>
              </w:rPr>
            </w:pPr>
          </w:p>
        </w:tc>
        <w:tc>
          <w:tcPr>
            <w:tcW w:w="360" w:type="dxa"/>
            <w:vMerge w:val="continue"/>
            <w:tcBorders>
              <w:top w:val="nil"/>
              <w:left w:val="single" w:color="000000" w:sz="4" w:space="0"/>
              <w:bottom w:val="single" w:color="000000" w:sz="4" w:space="0"/>
              <w:right w:val="single" w:color="000000" w:sz="4" w:space="0"/>
            </w:tcBorders>
            <w:vAlign w:val="center"/>
          </w:tcPr>
          <w:p>
            <w:pPr>
              <w:jc w:val="center"/>
            </w:pPr>
          </w:p>
        </w:tc>
        <w:tc>
          <w:tcPr>
            <w:tcW w:w="404" w:type="dxa"/>
            <w:vMerge w:val="continue"/>
            <w:tcBorders>
              <w:top w:val="nil"/>
              <w:left w:val="single" w:color="000000" w:sz="4" w:space="0"/>
              <w:bottom w:val="single" w:color="000000" w:sz="4" w:space="0"/>
              <w:right w:val="single" w:color="000000" w:sz="4" w:space="0"/>
            </w:tcBorders>
            <w:vAlign w:val="center"/>
          </w:tcPr>
          <w:p>
            <w:pPr>
              <w:jc w:val="center"/>
            </w:pPr>
          </w:p>
        </w:tc>
        <w:tc>
          <w:tcPr>
            <w:tcW w:w="774" w:type="dxa"/>
            <w:tcBorders>
              <w:top w:val="nil"/>
              <w:left w:val="nil"/>
              <w:bottom w:val="single" w:color="000000" w:sz="4" w:space="0"/>
              <w:right w:val="single" w:color="000000" w:sz="4" w:space="0"/>
            </w:tcBorders>
            <w:vAlign w:val="center"/>
          </w:tcPr>
          <w:p>
            <w:pPr>
              <w:widowControl/>
              <w:jc w:val="center"/>
              <w:textAlignment w:val="center"/>
              <w:rPr>
                <w:rFonts w:ascii="宋体" w:hAnsi="宋体" w:eastAsia="宋体" w:cs="Arial"/>
                <w:kern w:val="0"/>
                <w:sz w:val="22"/>
                <w:szCs w:val="22"/>
              </w:rPr>
            </w:pPr>
            <w:r>
              <w:rPr>
                <w:rFonts w:hint="eastAsia" w:ascii="宋体" w:hAnsi="宋体" w:eastAsia="宋体" w:cs="宋体"/>
                <w:kern w:val="0"/>
                <w:sz w:val="22"/>
                <w:szCs w:val="22"/>
                <w:lang w:bidi="ar"/>
              </w:rPr>
              <w:t>合计</w:t>
            </w:r>
          </w:p>
        </w:tc>
        <w:tc>
          <w:tcPr>
            <w:tcW w:w="623" w:type="dxa"/>
            <w:gridSpan w:val="2"/>
            <w:tcBorders>
              <w:top w:val="nil"/>
              <w:left w:val="nil"/>
              <w:bottom w:val="single" w:color="000000" w:sz="4" w:space="0"/>
              <w:right w:val="single" w:color="000000" w:sz="4" w:space="0"/>
            </w:tcBorders>
            <w:vAlign w:val="center"/>
          </w:tcPr>
          <w:p>
            <w:pPr>
              <w:jc w:val="right"/>
              <w:rPr>
                <w:rFonts w:ascii="宋体" w:hAnsi="宋体" w:eastAsia="宋体" w:cs="Arial"/>
                <w:kern w:val="0"/>
                <w:sz w:val="22"/>
                <w:szCs w:val="22"/>
              </w:rPr>
            </w:pPr>
          </w:p>
        </w:tc>
        <w:tc>
          <w:tcPr>
            <w:tcW w:w="501" w:type="dxa"/>
            <w:gridSpan w:val="2"/>
            <w:tcBorders>
              <w:top w:val="nil"/>
              <w:left w:val="nil"/>
              <w:bottom w:val="single" w:color="000000" w:sz="4" w:space="0"/>
              <w:right w:val="single" w:color="000000" w:sz="4" w:space="0"/>
            </w:tcBorders>
            <w:vAlign w:val="center"/>
          </w:tcPr>
          <w:p>
            <w:pPr>
              <w:jc w:val="right"/>
              <w:rPr>
                <w:rFonts w:ascii="宋体" w:hAnsi="宋体" w:eastAsia="宋体" w:cs="Arial"/>
                <w:kern w:val="0"/>
                <w:sz w:val="22"/>
                <w:szCs w:val="22"/>
              </w:rPr>
            </w:pPr>
          </w:p>
        </w:tc>
        <w:tc>
          <w:tcPr>
            <w:tcW w:w="477" w:type="dxa"/>
            <w:tcBorders>
              <w:top w:val="nil"/>
              <w:left w:val="nil"/>
              <w:bottom w:val="single" w:color="000000" w:sz="4" w:space="0"/>
              <w:right w:val="single" w:color="000000" w:sz="4" w:space="0"/>
            </w:tcBorders>
            <w:vAlign w:val="center"/>
          </w:tcPr>
          <w:p>
            <w:pPr>
              <w:jc w:val="right"/>
              <w:rPr>
                <w:rFonts w:ascii="宋体" w:hAnsi="宋体" w:eastAsia="宋体" w:cs="Arial"/>
                <w:kern w:val="0"/>
                <w:sz w:val="22"/>
                <w:szCs w:val="22"/>
              </w:rPr>
            </w:pPr>
          </w:p>
        </w:tc>
        <w:tc>
          <w:tcPr>
            <w:tcW w:w="550" w:type="dxa"/>
            <w:gridSpan w:val="2"/>
            <w:tcBorders>
              <w:top w:val="nil"/>
              <w:left w:val="nil"/>
              <w:bottom w:val="single" w:color="000000" w:sz="4" w:space="0"/>
              <w:right w:val="single" w:color="000000" w:sz="4" w:space="0"/>
            </w:tcBorders>
            <w:vAlign w:val="center"/>
          </w:tcPr>
          <w:p>
            <w:pPr>
              <w:jc w:val="right"/>
              <w:rPr>
                <w:rFonts w:ascii="宋体" w:hAnsi="宋体" w:eastAsia="宋体" w:cs="Arial"/>
                <w:kern w:val="0"/>
                <w:sz w:val="22"/>
                <w:szCs w:val="22"/>
              </w:rPr>
            </w:pPr>
          </w:p>
        </w:tc>
        <w:tc>
          <w:tcPr>
            <w:tcW w:w="477" w:type="dxa"/>
            <w:gridSpan w:val="2"/>
            <w:tcBorders>
              <w:top w:val="nil"/>
              <w:left w:val="nil"/>
              <w:bottom w:val="single" w:color="000000" w:sz="4" w:space="0"/>
              <w:right w:val="single" w:color="000000" w:sz="4" w:space="0"/>
            </w:tcBorders>
            <w:vAlign w:val="center"/>
          </w:tcPr>
          <w:p>
            <w:pPr>
              <w:jc w:val="right"/>
              <w:rPr>
                <w:rFonts w:ascii="宋体" w:hAnsi="宋体" w:eastAsia="宋体" w:cs="Arial"/>
                <w:kern w:val="0"/>
                <w:sz w:val="22"/>
                <w:szCs w:val="22"/>
              </w:rPr>
            </w:pPr>
          </w:p>
        </w:tc>
        <w:tc>
          <w:tcPr>
            <w:tcW w:w="591" w:type="dxa"/>
            <w:tcBorders>
              <w:top w:val="nil"/>
              <w:left w:val="nil"/>
              <w:bottom w:val="single" w:color="000000" w:sz="4" w:space="0"/>
              <w:right w:val="single" w:color="000000" w:sz="4" w:space="0"/>
            </w:tcBorders>
            <w:vAlign w:val="center"/>
          </w:tcPr>
          <w:p>
            <w:pPr>
              <w:jc w:val="right"/>
              <w:rPr>
                <w:rFonts w:ascii="宋体" w:hAnsi="宋体" w:eastAsia="宋体" w:cs="Arial"/>
                <w:kern w:val="0"/>
                <w:sz w:val="22"/>
                <w:szCs w:val="22"/>
              </w:rPr>
            </w:pPr>
          </w:p>
        </w:tc>
        <w:tc>
          <w:tcPr>
            <w:tcW w:w="486" w:type="dxa"/>
            <w:gridSpan w:val="2"/>
            <w:tcBorders>
              <w:top w:val="nil"/>
              <w:left w:val="nil"/>
              <w:bottom w:val="single" w:color="000000" w:sz="4" w:space="0"/>
              <w:right w:val="single" w:color="000000" w:sz="4" w:space="0"/>
            </w:tcBorders>
            <w:vAlign w:val="center"/>
          </w:tcPr>
          <w:p>
            <w:pPr>
              <w:jc w:val="right"/>
              <w:rPr>
                <w:rFonts w:ascii="宋体" w:hAnsi="宋体" w:eastAsia="宋体" w:cs="Arial"/>
                <w:kern w:val="0"/>
                <w:sz w:val="22"/>
                <w:szCs w:val="22"/>
              </w:rPr>
            </w:pPr>
          </w:p>
        </w:tc>
        <w:tc>
          <w:tcPr>
            <w:tcW w:w="546" w:type="dxa"/>
            <w:gridSpan w:val="2"/>
            <w:tcBorders>
              <w:top w:val="nil"/>
              <w:left w:val="nil"/>
              <w:bottom w:val="single" w:color="000000" w:sz="4" w:space="0"/>
              <w:right w:val="single" w:color="000000" w:sz="4" w:space="0"/>
            </w:tcBorders>
            <w:vAlign w:val="center"/>
          </w:tcPr>
          <w:p>
            <w:pPr>
              <w:jc w:val="right"/>
              <w:rPr>
                <w:rFonts w:ascii="宋体" w:hAnsi="宋体" w:eastAsia="宋体" w:cs="Arial"/>
                <w:kern w:val="0"/>
                <w:sz w:val="22"/>
                <w:szCs w:val="22"/>
              </w:rPr>
            </w:pPr>
          </w:p>
        </w:tc>
        <w:tc>
          <w:tcPr>
            <w:tcW w:w="477" w:type="dxa"/>
            <w:tcBorders>
              <w:top w:val="nil"/>
              <w:left w:val="nil"/>
              <w:bottom w:val="single" w:color="000000" w:sz="4" w:space="0"/>
              <w:right w:val="single" w:color="000000" w:sz="4" w:space="0"/>
            </w:tcBorders>
            <w:vAlign w:val="center"/>
          </w:tcPr>
          <w:p>
            <w:pPr>
              <w:jc w:val="right"/>
              <w:rPr>
                <w:rFonts w:ascii="宋体" w:hAnsi="宋体" w:eastAsia="宋体" w:cs="Arial"/>
                <w:kern w:val="0"/>
                <w:sz w:val="22"/>
                <w:szCs w:val="22"/>
              </w:rPr>
            </w:pPr>
          </w:p>
        </w:tc>
        <w:tc>
          <w:tcPr>
            <w:tcW w:w="494" w:type="dxa"/>
            <w:gridSpan w:val="2"/>
            <w:tcBorders>
              <w:top w:val="nil"/>
              <w:left w:val="nil"/>
              <w:bottom w:val="single" w:color="000000" w:sz="4" w:space="0"/>
              <w:right w:val="single" w:color="000000" w:sz="4" w:space="0"/>
            </w:tcBorders>
            <w:vAlign w:val="center"/>
          </w:tcPr>
          <w:p>
            <w:pPr>
              <w:jc w:val="right"/>
              <w:rPr>
                <w:rFonts w:ascii="宋体" w:hAnsi="宋体" w:eastAsia="宋体" w:cs="Arial"/>
                <w:kern w:val="0"/>
                <w:sz w:val="22"/>
                <w:szCs w:val="22"/>
              </w:rPr>
            </w:pPr>
          </w:p>
        </w:tc>
        <w:tc>
          <w:tcPr>
            <w:tcW w:w="488" w:type="dxa"/>
            <w:gridSpan w:val="2"/>
            <w:tcBorders>
              <w:top w:val="nil"/>
              <w:left w:val="nil"/>
              <w:bottom w:val="single" w:color="000000" w:sz="4" w:space="0"/>
              <w:right w:val="single" w:color="000000" w:sz="4" w:space="0"/>
            </w:tcBorders>
            <w:vAlign w:val="center"/>
          </w:tcPr>
          <w:p>
            <w:pPr>
              <w:jc w:val="right"/>
              <w:rPr>
                <w:rFonts w:ascii="宋体" w:hAnsi="宋体" w:eastAsia="宋体" w:cs="Arial"/>
                <w:kern w:val="0"/>
                <w:sz w:val="22"/>
                <w:szCs w:val="22"/>
              </w:rPr>
            </w:pPr>
          </w:p>
        </w:tc>
        <w:tc>
          <w:tcPr>
            <w:tcW w:w="600" w:type="dxa"/>
            <w:tcBorders>
              <w:top w:val="nil"/>
              <w:left w:val="nil"/>
              <w:bottom w:val="single" w:color="000000" w:sz="4" w:space="0"/>
              <w:right w:val="single" w:color="000000" w:sz="4" w:space="0"/>
            </w:tcBorders>
            <w:vAlign w:val="center"/>
          </w:tcPr>
          <w:p>
            <w:pPr>
              <w:jc w:val="right"/>
              <w:rPr>
                <w:rFonts w:ascii="宋体" w:hAnsi="宋体" w:eastAsia="宋体" w:cs="Arial"/>
                <w:kern w:val="0"/>
                <w:sz w:val="22"/>
                <w:szCs w:val="22"/>
              </w:rPr>
            </w:pPr>
          </w:p>
        </w:tc>
        <w:tc>
          <w:tcPr>
            <w:tcW w:w="641" w:type="dxa"/>
            <w:tcBorders>
              <w:top w:val="nil"/>
              <w:left w:val="nil"/>
              <w:bottom w:val="single" w:color="000000" w:sz="4" w:space="0"/>
              <w:right w:val="single" w:color="000000" w:sz="4" w:space="0"/>
            </w:tcBorders>
            <w:vAlign w:val="center"/>
          </w:tcPr>
          <w:p>
            <w:pPr>
              <w:jc w:val="right"/>
              <w:rPr>
                <w:rFonts w:ascii="宋体" w:hAnsi="宋体" w:eastAsia="宋体" w:cs="Arial"/>
                <w:kern w:val="0"/>
                <w:sz w:val="22"/>
                <w:szCs w:val="22"/>
              </w:rPr>
            </w:pPr>
          </w:p>
        </w:tc>
      </w:tr>
      <w:tr>
        <w:tblPrEx>
          <w:tblCellMar>
            <w:top w:w="0" w:type="dxa"/>
            <w:left w:w="108" w:type="dxa"/>
            <w:bottom w:w="0" w:type="dxa"/>
            <w:right w:w="108" w:type="dxa"/>
          </w:tblCellMar>
        </w:tblPrEx>
        <w:trPr>
          <w:trHeight w:val="550" w:hRule="atLeast"/>
        </w:trPr>
        <w:tc>
          <w:tcPr>
            <w:tcW w:w="1135" w:type="dxa"/>
            <w:gridSpan w:val="3"/>
            <w:tcBorders>
              <w:top w:val="nil"/>
              <w:left w:val="single" w:color="000000" w:sz="4" w:space="0"/>
              <w:bottom w:val="single" w:color="auto" w:sz="4" w:space="0"/>
              <w:right w:val="single" w:color="000000" w:sz="4" w:space="0"/>
            </w:tcBorders>
            <w:vAlign w:val="center"/>
          </w:tcPr>
          <w:p>
            <w:pPr>
              <w:widowControl/>
              <w:jc w:val="left"/>
              <w:rPr>
                <w:rFonts w:ascii="宋体" w:hAnsi="宋体" w:eastAsia="宋体" w:cs="Arial"/>
                <w:kern w:val="0"/>
                <w:sz w:val="22"/>
                <w:szCs w:val="22"/>
              </w:rPr>
            </w:pPr>
            <w:r>
              <w:rPr>
                <w:rFonts w:hint="eastAsia" w:ascii="宋体" w:hAnsi="宋体" w:eastAsia="宋体" w:cs="Arial"/>
                <w:kern w:val="0"/>
                <w:sz w:val="22"/>
                <w:szCs w:val="22"/>
              </w:rPr>
              <w:t>　</w:t>
            </w:r>
          </w:p>
        </w:tc>
        <w:tc>
          <w:tcPr>
            <w:tcW w:w="774" w:type="dxa"/>
            <w:tcBorders>
              <w:top w:val="nil"/>
              <w:left w:val="nil"/>
              <w:bottom w:val="single" w:color="auto" w:sz="4" w:space="0"/>
              <w:right w:val="single" w:color="000000" w:sz="4" w:space="0"/>
            </w:tcBorders>
            <w:vAlign w:val="center"/>
          </w:tcPr>
          <w:p>
            <w:pPr>
              <w:widowControl/>
              <w:jc w:val="left"/>
              <w:rPr>
                <w:rFonts w:ascii="宋体" w:hAnsi="宋体" w:eastAsia="宋体" w:cs="Arial"/>
                <w:kern w:val="0"/>
                <w:sz w:val="22"/>
                <w:szCs w:val="22"/>
              </w:rPr>
            </w:pPr>
            <w:r>
              <w:rPr>
                <w:rFonts w:hint="eastAsia" w:ascii="宋体" w:hAnsi="宋体" w:eastAsia="宋体" w:cs="Arial"/>
                <w:kern w:val="0"/>
                <w:sz w:val="22"/>
                <w:szCs w:val="22"/>
              </w:rPr>
              <w:t>　</w:t>
            </w:r>
          </w:p>
        </w:tc>
        <w:tc>
          <w:tcPr>
            <w:tcW w:w="623" w:type="dxa"/>
            <w:gridSpan w:val="2"/>
            <w:tcBorders>
              <w:top w:val="nil"/>
              <w:left w:val="nil"/>
              <w:bottom w:val="single" w:color="auto" w:sz="4" w:space="0"/>
              <w:right w:val="single" w:color="000000"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501" w:type="dxa"/>
            <w:gridSpan w:val="2"/>
            <w:tcBorders>
              <w:top w:val="nil"/>
              <w:left w:val="nil"/>
              <w:bottom w:val="single" w:color="auto" w:sz="4" w:space="0"/>
              <w:right w:val="single" w:color="000000"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477" w:type="dxa"/>
            <w:tcBorders>
              <w:top w:val="nil"/>
              <w:left w:val="nil"/>
              <w:bottom w:val="single" w:color="auto" w:sz="4" w:space="0"/>
              <w:right w:val="single" w:color="000000"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550" w:type="dxa"/>
            <w:gridSpan w:val="2"/>
            <w:tcBorders>
              <w:top w:val="nil"/>
              <w:left w:val="nil"/>
              <w:bottom w:val="single" w:color="auto" w:sz="4" w:space="0"/>
              <w:right w:val="single" w:color="000000"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477" w:type="dxa"/>
            <w:gridSpan w:val="2"/>
            <w:tcBorders>
              <w:top w:val="nil"/>
              <w:left w:val="nil"/>
              <w:bottom w:val="single" w:color="auto" w:sz="4" w:space="0"/>
              <w:right w:val="single" w:color="000000"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591" w:type="dxa"/>
            <w:tcBorders>
              <w:top w:val="nil"/>
              <w:left w:val="nil"/>
              <w:bottom w:val="single" w:color="auto" w:sz="4" w:space="0"/>
              <w:right w:val="single" w:color="000000"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486" w:type="dxa"/>
            <w:gridSpan w:val="2"/>
            <w:tcBorders>
              <w:top w:val="nil"/>
              <w:left w:val="nil"/>
              <w:bottom w:val="single" w:color="auto" w:sz="4" w:space="0"/>
              <w:right w:val="single" w:color="000000"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546" w:type="dxa"/>
            <w:gridSpan w:val="2"/>
            <w:tcBorders>
              <w:top w:val="nil"/>
              <w:left w:val="nil"/>
              <w:bottom w:val="single" w:color="auto" w:sz="4" w:space="0"/>
              <w:right w:val="single" w:color="000000"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477" w:type="dxa"/>
            <w:tcBorders>
              <w:top w:val="nil"/>
              <w:left w:val="nil"/>
              <w:bottom w:val="single" w:color="auto" w:sz="4" w:space="0"/>
              <w:right w:val="single" w:color="000000"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494" w:type="dxa"/>
            <w:gridSpan w:val="2"/>
            <w:tcBorders>
              <w:top w:val="nil"/>
              <w:left w:val="nil"/>
              <w:bottom w:val="single" w:color="auto" w:sz="4" w:space="0"/>
              <w:right w:val="single" w:color="000000"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488" w:type="dxa"/>
            <w:gridSpan w:val="2"/>
            <w:tcBorders>
              <w:top w:val="nil"/>
              <w:left w:val="nil"/>
              <w:bottom w:val="single" w:color="auto" w:sz="4" w:space="0"/>
              <w:right w:val="single" w:color="000000"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600" w:type="dxa"/>
            <w:tcBorders>
              <w:top w:val="nil"/>
              <w:left w:val="nil"/>
              <w:bottom w:val="single" w:color="auto" w:sz="4" w:space="0"/>
              <w:right w:val="single" w:color="000000"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641" w:type="dxa"/>
            <w:tcBorders>
              <w:top w:val="nil"/>
              <w:left w:val="nil"/>
              <w:bottom w:val="single" w:color="auto" w:sz="4" w:space="0"/>
              <w:right w:val="single" w:color="000000"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r>
      <w:tr>
        <w:tblPrEx>
          <w:tblCellMar>
            <w:top w:w="0" w:type="dxa"/>
            <w:left w:w="108" w:type="dxa"/>
            <w:bottom w:w="0" w:type="dxa"/>
            <w:right w:w="108" w:type="dxa"/>
          </w:tblCellMar>
        </w:tblPrEx>
        <w:trPr>
          <w:trHeight w:val="559" w:hRule="atLeast"/>
        </w:trPr>
        <w:tc>
          <w:tcPr>
            <w:tcW w:w="1135"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2"/>
                <w:szCs w:val="22"/>
              </w:rPr>
            </w:pPr>
            <w:r>
              <w:rPr>
                <w:rFonts w:hint="eastAsia" w:ascii="宋体" w:hAnsi="宋体" w:eastAsia="宋体" w:cs="Arial"/>
                <w:kern w:val="0"/>
                <w:sz w:val="22"/>
                <w:szCs w:val="22"/>
              </w:rPr>
              <w:t>　</w:t>
            </w:r>
          </w:p>
        </w:tc>
        <w:tc>
          <w:tcPr>
            <w:tcW w:w="77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Arial"/>
                <w:kern w:val="0"/>
                <w:sz w:val="22"/>
                <w:szCs w:val="22"/>
              </w:rPr>
            </w:pPr>
            <w:r>
              <w:rPr>
                <w:rFonts w:hint="eastAsia" w:ascii="宋体" w:hAnsi="宋体" w:eastAsia="宋体" w:cs="Arial"/>
                <w:kern w:val="0"/>
                <w:sz w:val="22"/>
                <w:szCs w:val="22"/>
              </w:rPr>
              <w:t>　</w:t>
            </w:r>
          </w:p>
        </w:tc>
        <w:tc>
          <w:tcPr>
            <w:tcW w:w="623" w:type="dxa"/>
            <w:gridSpan w:val="2"/>
            <w:tcBorders>
              <w:top w:val="single" w:color="auto" w:sz="4" w:space="0"/>
              <w:left w:val="single" w:color="auto" w:sz="4" w:space="0"/>
              <w:bottom w:val="single" w:color="auto" w:sz="4" w:space="0"/>
              <w:right w:val="single" w:color="auto"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501" w:type="dxa"/>
            <w:gridSpan w:val="2"/>
            <w:tcBorders>
              <w:top w:val="single" w:color="auto" w:sz="4" w:space="0"/>
              <w:left w:val="single" w:color="auto" w:sz="4" w:space="0"/>
              <w:bottom w:val="single" w:color="auto" w:sz="4" w:space="0"/>
              <w:right w:val="single" w:color="auto"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477" w:type="dxa"/>
            <w:tcBorders>
              <w:top w:val="single" w:color="auto" w:sz="4" w:space="0"/>
              <w:left w:val="single" w:color="auto" w:sz="4" w:space="0"/>
              <w:bottom w:val="single" w:color="auto" w:sz="4" w:space="0"/>
              <w:right w:val="single" w:color="auto"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550" w:type="dxa"/>
            <w:gridSpan w:val="2"/>
            <w:tcBorders>
              <w:top w:val="single" w:color="auto" w:sz="4" w:space="0"/>
              <w:left w:val="single" w:color="auto" w:sz="4" w:space="0"/>
              <w:bottom w:val="single" w:color="auto" w:sz="4" w:space="0"/>
              <w:right w:val="single" w:color="auto"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477" w:type="dxa"/>
            <w:gridSpan w:val="2"/>
            <w:tcBorders>
              <w:top w:val="single" w:color="auto" w:sz="4" w:space="0"/>
              <w:left w:val="single" w:color="auto" w:sz="4" w:space="0"/>
              <w:bottom w:val="single" w:color="auto" w:sz="4" w:space="0"/>
              <w:right w:val="single" w:color="auto"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591" w:type="dxa"/>
            <w:tcBorders>
              <w:top w:val="single" w:color="auto" w:sz="4" w:space="0"/>
              <w:left w:val="single" w:color="auto" w:sz="4" w:space="0"/>
              <w:bottom w:val="single" w:color="auto" w:sz="4" w:space="0"/>
              <w:right w:val="single" w:color="auto"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486" w:type="dxa"/>
            <w:gridSpan w:val="2"/>
            <w:tcBorders>
              <w:top w:val="single" w:color="auto" w:sz="4" w:space="0"/>
              <w:left w:val="single" w:color="auto" w:sz="4" w:space="0"/>
              <w:bottom w:val="single" w:color="auto" w:sz="4" w:space="0"/>
              <w:right w:val="single" w:color="auto"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546" w:type="dxa"/>
            <w:gridSpan w:val="2"/>
            <w:tcBorders>
              <w:top w:val="single" w:color="auto" w:sz="4" w:space="0"/>
              <w:left w:val="single" w:color="auto" w:sz="4" w:space="0"/>
              <w:bottom w:val="single" w:color="auto" w:sz="4" w:space="0"/>
              <w:right w:val="single" w:color="auto"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477" w:type="dxa"/>
            <w:tcBorders>
              <w:top w:val="single" w:color="auto" w:sz="4" w:space="0"/>
              <w:left w:val="single" w:color="auto" w:sz="4" w:space="0"/>
              <w:bottom w:val="single" w:color="auto" w:sz="4" w:space="0"/>
              <w:right w:val="single" w:color="auto"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494" w:type="dxa"/>
            <w:gridSpan w:val="2"/>
            <w:tcBorders>
              <w:top w:val="single" w:color="auto" w:sz="4" w:space="0"/>
              <w:left w:val="single" w:color="auto" w:sz="4" w:space="0"/>
              <w:bottom w:val="single" w:color="auto" w:sz="4" w:space="0"/>
              <w:right w:val="single" w:color="auto"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488" w:type="dxa"/>
            <w:gridSpan w:val="2"/>
            <w:tcBorders>
              <w:top w:val="single" w:color="auto" w:sz="4" w:space="0"/>
              <w:left w:val="single" w:color="auto" w:sz="4" w:space="0"/>
              <w:bottom w:val="single" w:color="auto" w:sz="4" w:space="0"/>
              <w:right w:val="single" w:color="auto"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600" w:type="dxa"/>
            <w:tcBorders>
              <w:top w:val="single" w:color="auto" w:sz="4" w:space="0"/>
              <w:left w:val="single" w:color="auto" w:sz="4" w:space="0"/>
              <w:bottom w:val="single" w:color="auto" w:sz="4" w:space="0"/>
              <w:right w:val="single" w:color="auto"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c>
          <w:tcPr>
            <w:tcW w:w="641" w:type="dxa"/>
            <w:tcBorders>
              <w:top w:val="single" w:color="auto" w:sz="4" w:space="0"/>
              <w:left w:val="single" w:color="auto" w:sz="4" w:space="0"/>
              <w:bottom w:val="single" w:color="auto" w:sz="4" w:space="0"/>
              <w:right w:val="single" w:color="auto" w:sz="4" w:space="0"/>
            </w:tcBorders>
            <w:vAlign w:val="center"/>
          </w:tcPr>
          <w:p>
            <w:pPr>
              <w:widowControl/>
              <w:jc w:val="right"/>
              <w:rPr>
                <w:rFonts w:ascii="宋体" w:hAnsi="宋体" w:eastAsia="宋体" w:cs="Arial"/>
                <w:kern w:val="0"/>
                <w:sz w:val="22"/>
                <w:szCs w:val="22"/>
              </w:rPr>
            </w:pPr>
            <w:r>
              <w:rPr>
                <w:rFonts w:hint="eastAsia" w:ascii="宋体" w:hAnsi="宋体" w:eastAsia="宋体" w:cs="Arial"/>
                <w:kern w:val="0"/>
                <w:sz w:val="22"/>
                <w:szCs w:val="22"/>
              </w:rPr>
              <w:t>　</w:t>
            </w:r>
          </w:p>
        </w:tc>
      </w:tr>
      <w:tr>
        <w:tblPrEx>
          <w:tblCellMar>
            <w:top w:w="0" w:type="dxa"/>
            <w:left w:w="108" w:type="dxa"/>
            <w:bottom w:w="0" w:type="dxa"/>
            <w:right w:w="108" w:type="dxa"/>
          </w:tblCellMar>
        </w:tblPrEx>
        <w:trPr>
          <w:trHeight w:val="595" w:hRule="atLeast"/>
        </w:trPr>
        <w:tc>
          <w:tcPr>
            <w:tcW w:w="8860" w:type="dxa"/>
            <w:gridSpan w:val="25"/>
            <w:tcBorders>
              <w:top w:val="single" w:color="auto" w:sz="4" w:space="0"/>
              <w:left w:val="nil"/>
              <w:bottom w:val="nil"/>
              <w:right w:val="nil"/>
            </w:tcBorders>
            <w:vAlign w:val="center"/>
          </w:tcPr>
          <w:p>
            <w:pPr>
              <w:widowControl/>
              <w:jc w:val="left"/>
              <w:textAlignment w:val="center"/>
              <w:rPr>
                <w:rFonts w:ascii="宋体" w:hAnsi="宋体" w:eastAsia="宋体" w:cs="Arial"/>
                <w:kern w:val="0"/>
                <w:sz w:val="22"/>
                <w:szCs w:val="22"/>
              </w:rPr>
            </w:pPr>
            <w:r>
              <w:rPr>
                <w:rFonts w:hint="eastAsia" w:ascii="宋体" w:hAnsi="宋体" w:eastAsia="宋体" w:cs="Arial"/>
                <w:kern w:val="0"/>
                <w:sz w:val="22"/>
                <w:szCs w:val="22"/>
              </w:rPr>
              <w:t>注：本表反映部门本年度政府性基金预算财政拨款收入、支出及结转和结余情况。</w:t>
            </w:r>
          </w:p>
          <w:p>
            <w:pPr>
              <w:widowControl/>
              <w:jc w:val="left"/>
              <w:textAlignment w:val="center"/>
              <w:rPr>
                <w:rFonts w:ascii="宋体" w:hAnsi="宋体" w:eastAsia="宋体" w:cs="Arial"/>
                <w:kern w:val="0"/>
                <w:sz w:val="22"/>
                <w:szCs w:val="22"/>
              </w:rPr>
            </w:pPr>
            <w:r>
              <w:rPr>
                <w:rFonts w:hint="eastAsia" w:ascii="宋体" w:hAnsi="宋体" w:eastAsia="宋体" w:cs="Arial"/>
                <w:kern w:val="0"/>
                <w:sz w:val="22"/>
                <w:szCs w:val="22"/>
              </w:rPr>
              <w:t>说明：博望区人民检察院没有政府性基金预算收入，也没有使用政府性基金预算安排的支出，故本表无数据。</w:t>
            </w:r>
          </w:p>
        </w:tc>
      </w:tr>
    </w:tbl>
    <w:p>
      <w:pPr>
        <w:ind w:firstLine="640" w:firstLineChars="200"/>
        <w:jc w:val="center"/>
        <w:rPr>
          <w:rFonts w:ascii="黑体" w:hAnsi="黑体" w:eastAsia="黑体"/>
          <w:szCs w:val="32"/>
        </w:rPr>
      </w:pPr>
    </w:p>
    <w:p>
      <w:pPr>
        <w:ind w:firstLine="640" w:firstLineChars="200"/>
        <w:jc w:val="center"/>
        <w:rPr>
          <w:rFonts w:ascii="黑体" w:hAnsi="黑体" w:eastAsia="黑体"/>
          <w:szCs w:val="32"/>
        </w:rPr>
      </w:pPr>
    </w:p>
    <w:p>
      <w:pPr>
        <w:rPr>
          <w:rFonts w:ascii="黑体" w:hAnsi="黑体" w:eastAsia="黑体"/>
          <w:szCs w:val="32"/>
        </w:rPr>
      </w:pPr>
    </w:p>
    <w:p>
      <w:pPr>
        <w:ind w:firstLine="640" w:firstLineChars="200"/>
        <w:jc w:val="center"/>
        <w:rPr>
          <w:rFonts w:ascii="黑体" w:hAnsi="黑体" w:eastAsia="黑体"/>
          <w:szCs w:val="32"/>
        </w:rPr>
      </w:pPr>
    </w:p>
    <w:p>
      <w:pPr>
        <w:ind w:firstLine="640" w:firstLineChars="200"/>
        <w:jc w:val="center"/>
        <w:rPr>
          <w:rFonts w:ascii="黑体" w:hAnsi="黑体" w:eastAsia="黑体"/>
          <w:szCs w:val="32"/>
        </w:rPr>
      </w:pPr>
    </w:p>
    <w:p>
      <w:pPr>
        <w:ind w:firstLine="640" w:firstLineChars="200"/>
        <w:jc w:val="center"/>
        <w:rPr>
          <w:rFonts w:ascii="黑体" w:hAnsi="黑体" w:eastAsia="黑体"/>
          <w:szCs w:val="32"/>
        </w:rPr>
      </w:pPr>
    </w:p>
    <w:p>
      <w:pPr>
        <w:jc w:val="center"/>
        <w:rPr>
          <w:rFonts w:ascii="黑体" w:hAnsi="黑体" w:eastAsia="黑体"/>
          <w:szCs w:val="32"/>
        </w:rPr>
      </w:pPr>
    </w:p>
    <w:p>
      <w:pPr>
        <w:jc w:val="center"/>
        <w:rPr>
          <w:rFonts w:ascii="黑体" w:hAnsi="黑体" w:eastAsia="黑体"/>
          <w:szCs w:val="32"/>
        </w:rPr>
      </w:pPr>
      <w:r>
        <w:rPr>
          <w:rFonts w:hint="eastAsia" w:ascii="黑体" w:hAnsi="黑体" w:eastAsia="黑体"/>
          <w:szCs w:val="32"/>
        </w:rPr>
        <w:t>国有资本经营预算财政拨款支出决算表</w:t>
      </w:r>
    </w:p>
    <w:tbl>
      <w:tblPr>
        <w:tblStyle w:val="4"/>
        <w:tblW w:w="0" w:type="auto"/>
        <w:tblInd w:w="93" w:type="dxa"/>
        <w:tblLayout w:type="fixed"/>
        <w:tblCellMar>
          <w:top w:w="15" w:type="dxa"/>
          <w:left w:w="108" w:type="dxa"/>
          <w:bottom w:w="15" w:type="dxa"/>
          <w:right w:w="108" w:type="dxa"/>
        </w:tblCellMar>
      </w:tblPr>
      <w:tblGrid>
        <w:gridCol w:w="573"/>
        <w:gridCol w:w="573"/>
        <w:gridCol w:w="574"/>
        <w:gridCol w:w="1425"/>
        <w:gridCol w:w="1840"/>
        <w:gridCol w:w="1833"/>
        <w:gridCol w:w="1961"/>
      </w:tblGrid>
      <w:tr>
        <w:tblPrEx>
          <w:tblCellMar>
            <w:top w:w="15" w:type="dxa"/>
            <w:left w:w="108" w:type="dxa"/>
            <w:bottom w:w="15" w:type="dxa"/>
            <w:right w:w="108" w:type="dxa"/>
          </w:tblCellMar>
        </w:tblPrEx>
        <w:trPr>
          <w:trHeight w:val="360" w:hRule="atLeast"/>
        </w:trPr>
        <w:tc>
          <w:tcPr>
            <w:tcW w:w="8779" w:type="dxa"/>
            <w:gridSpan w:val="7"/>
            <w:vAlign w:val="bottom"/>
          </w:tcPr>
          <w:p>
            <w:pPr>
              <w:widowControl/>
              <w:jc w:val="right"/>
              <w:rPr>
                <w:rFonts w:ascii="宋体" w:hAnsi="宋体" w:eastAsia="宋体" w:cs="Arial"/>
                <w:kern w:val="0"/>
                <w:sz w:val="22"/>
                <w:szCs w:val="22"/>
              </w:rPr>
            </w:pPr>
            <w:r>
              <w:rPr>
                <w:rFonts w:hint="eastAsia" w:ascii="宋体" w:hAnsi="宋体" w:eastAsia="宋体" w:cs="Arial"/>
                <w:kern w:val="0"/>
                <w:sz w:val="22"/>
                <w:szCs w:val="22"/>
              </w:rPr>
              <w:t>公开08表</w:t>
            </w:r>
          </w:p>
        </w:tc>
      </w:tr>
      <w:tr>
        <w:tblPrEx>
          <w:tblCellMar>
            <w:top w:w="15" w:type="dxa"/>
            <w:left w:w="108" w:type="dxa"/>
            <w:bottom w:w="15" w:type="dxa"/>
            <w:right w:w="108" w:type="dxa"/>
          </w:tblCellMar>
        </w:tblPrEx>
        <w:trPr>
          <w:trHeight w:val="450" w:hRule="atLeast"/>
        </w:trPr>
        <w:tc>
          <w:tcPr>
            <w:tcW w:w="8779" w:type="dxa"/>
            <w:gridSpan w:val="7"/>
            <w:tcBorders>
              <w:bottom w:val="single" w:color="auto"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部门：                                                             金额单位：万元</w:t>
            </w:r>
          </w:p>
        </w:tc>
      </w:tr>
      <w:tr>
        <w:tblPrEx>
          <w:tblCellMar>
            <w:top w:w="15" w:type="dxa"/>
            <w:left w:w="108" w:type="dxa"/>
            <w:bottom w:w="15" w:type="dxa"/>
            <w:right w:w="108" w:type="dxa"/>
          </w:tblCellMar>
        </w:tblPrEx>
        <w:trPr>
          <w:trHeight w:val="781" w:hRule="atLeast"/>
        </w:trPr>
        <w:tc>
          <w:tcPr>
            <w:tcW w:w="1720" w:type="dxa"/>
            <w:gridSpan w:val="3"/>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科目代码</w:t>
            </w:r>
          </w:p>
        </w:tc>
        <w:tc>
          <w:tcPr>
            <w:tcW w:w="1425"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科目名称</w:t>
            </w:r>
          </w:p>
        </w:tc>
        <w:tc>
          <w:tcPr>
            <w:tcW w:w="5634"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本年支出</w:t>
            </w:r>
          </w:p>
        </w:tc>
      </w:tr>
      <w:tr>
        <w:tblPrEx>
          <w:tblCellMar>
            <w:top w:w="15" w:type="dxa"/>
            <w:left w:w="108" w:type="dxa"/>
            <w:bottom w:w="15" w:type="dxa"/>
            <w:right w:w="108" w:type="dxa"/>
          </w:tblCellMar>
        </w:tblPrEx>
        <w:trPr>
          <w:trHeight w:val="312" w:hRule="atLeast"/>
        </w:trPr>
        <w:tc>
          <w:tcPr>
            <w:tcW w:w="1720"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425"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84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合计</w:t>
            </w:r>
          </w:p>
        </w:tc>
        <w:tc>
          <w:tcPr>
            <w:tcW w:w="183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基本支出</w:t>
            </w:r>
          </w:p>
        </w:tc>
        <w:tc>
          <w:tcPr>
            <w:tcW w:w="196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项目支出</w:t>
            </w:r>
          </w:p>
        </w:tc>
      </w:tr>
      <w:tr>
        <w:tblPrEx>
          <w:tblCellMar>
            <w:top w:w="15" w:type="dxa"/>
            <w:left w:w="108" w:type="dxa"/>
            <w:bottom w:w="15" w:type="dxa"/>
            <w:right w:w="108" w:type="dxa"/>
          </w:tblCellMar>
        </w:tblPrEx>
        <w:trPr>
          <w:trHeight w:val="312" w:hRule="atLeast"/>
        </w:trPr>
        <w:tc>
          <w:tcPr>
            <w:tcW w:w="1720"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425"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840"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83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96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r>
      <w:tr>
        <w:tblPrEx>
          <w:tblCellMar>
            <w:top w:w="15" w:type="dxa"/>
            <w:left w:w="108" w:type="dxa"/>
            <w:bottom w:w="15" w:type="dxa"/>
            <w:right w:w="108" w:type="dxa"/>
          </w:tblCellMar>
        </w:tblPrEx>
        <w:trPr>
          <w:trHeight w:val="454" w:hRule="atLeast"/>
        </w:trPr>
        <w:tc>
          <w:tcPr>
            <w:tcW w:w="1720"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425"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840"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83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96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r>
      <w:tr>
        <w:tblPrEx>
          <w:tblCellMar>
            <w:top w:w="15" w:type="dxa"/>
            <w:left w:w="108" w:type="dxa"/>
            <w:bottom w:w="15" w:type="dxa"/>
            <w:right w:w="108" w:type="dxa"/>
          </w:tblCellMar>
        </w:tblPrEx>
        <w:trPr>
          <w:trHeight w:val="673" w:hRule="atLeast"/>
        </w:trPr>
        <w:tc>
          <w:tcPr>
            <w:tcW w:w="5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类</w:t>
            </w:r>
          </w:p>
        </w:tc>
        <w:tc>
          <w:tcPr>
            <w:tcW w:w="5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款</w:t>
            </w:r>
          </w:p>
        </w:tc>
        <w:tc>
          <w:tcPr>
            <w:tcW w:w="57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项</w:t>
            </w:r>
          </w:p>
        </w:tc>
        <w:tc>
          <w:tcPr>
            <w:tcW w:w="142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栏次</w:t>
            </w:r>
          </w:p>
        </w:tc>
        <w:tc>
          <w:tcPr>
            <w:tcW w:w="18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1</w:t>
            </w:r>
          </w:p>
        </w:tc>
        <w:tc>
          <w:tcPr>
            <w:tcW w:w="183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2</w:t>
            </w:r>
          </w:p>
        </w:tc>
        <w:tc>
          <w:tcPr>
            <w:tcW w:w="196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3</w:t>
            </w:r>
          </w:p>
        </w:tc>
      </w:tr>
      <w:tr>
        <w:tblPrEx>
          <w:tblCellMar>
            <w:top w:w="15" w:type="dxa"/>
            <w:left w:w="108" w:type="dxa"/>
            <w:bottom w:w="15" w:type="dxa"/>
            <w:right w:w="108" w:type="dxa"/>
          </w:tblCellMar>
        </w:tblPrEx>
        <w:trPr>
          <w:trHeight w:val="634" w:hRule="atLeast"/>
        </w:trPr>
        <w:tc>
          <w:tcPr>
            <w:tcW w:w="1720"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42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r>
              <w:rPr>
                <w:rFonts w:hint="eastAsia" w:ascii="宋体" w:hAnsi="宋体" w:eastAsia="宋体" w:cs="Arial"/>
                <w:kern w:val="0"/>
                <w:sz w:val="22"/>
                <w:szCs w:val="22"/>
              </w:rPr>
              <w:t>合计</w:t>
            </w:r>
          </w:p>
        </w:tc>
        <w:tc>
          <w:tcPr>
            <w:tcW w:w="18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83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96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r>
      <w:tr>
        <w:tblPrEx>
          <w:tblCellMar>
            <w:top w:w="15" w:type="dxa"/>
            <w:left w:w="108" w:type="dxa"/>
            <w:bottom w:w="15" w:type="dxa"/>
            <w:right w:w="108" w:type="dxa"/>
          </w:tblCellMar>
        </w:tblPrEx>
        <w:trPr>
          <w:trHeight w:val="799" w:hRule="atLeast"/>
        </w:trPr>
        <w:tc>
          <w:tcPr>
            <w:tcW w:w="1720"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42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8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83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c>
          <w:tcPr>
            <w:tcW w:w="196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Arial"/>
                <w:kern w:val="0"/>
                <w:sz w:val="22"/>
                <w:szCs w:val="22"/>
              </w:rPr>
            </w:pPr>
          </w:p>
        </w:tc>
      </w:tr>
      <w:tr>
        <w:tblPrEx>
          <w:tblCellMar>
            <w:top w:w="15" w:type="dxa"/>
            <w:left w:w="108" w:type="dxa"/>
            <w:bottom w:w="15" w:type="dxa"/>
            <w:right w:w="108" w:type="dxa"/>
          </w:tblCellMar>
        </w:tblPrEx>
        <w:trPr>
          <w:trHeight w:val="598" w:hRule="atLeast"/>
        </w:trPr>
        <w:tc>
          <w:tcPr>
            <w:tcW w:w="8779" w:type="dxa"/>
            <w:gridSpan w:val="7"/>
            <w:tcBorders>
              <w:top w:val="single" w:color="auto" w:sz="4" w:space="0"/>
              <w:left w:val="nil"/>
              <w:bottom w:val="nil"/>
              <w:right w:val="nil"/>
            </w:tcBorders>
            <w:vAlign w:val="center"/>
          </w:tcPr>
          <w:p>
            <w:pPr>
              <w:widowControl/>
              <w:jc w:val="left"/>
              <w:rPr>
                <w:rFonts w:ascii="宋体" w:hAnsi="宋体" w:eastAsia="宋体" w:cs="Arial"/>
                <w:color w:val="000000"/>
                <w:kern w:val="0"/>
                <w:sz w:val="22"/>
                <w:szCs w:val="22"/>
              </w:rPr>
            </w:pPr>
            <w:r>
              <w:rPr>
                <w:rFonts w:hint="eastAsia" w:ascii="宋体" w:hAnsi="宋体" w:eastAsia="宋体" w:cs="Arial"/>
                <w:color w:val="000000"/>
                <w:kern w:val="0"/>
                <w:sz w:val="22"/>
                <w:szCs w:val="22"/>
              </w:rPr>
              <w:t>注：本表反映单位本年度国有资本经营预算财政拨款支出情况。</w:t>
            </w:r>
          </w:p>
          <w:p>
            <w:pPr>
              <w:widowControl/>
              <w:jc w:val="left"/>
              <w:textAlignment w:val="center"/>
              <w:rPr>
                <w:rFonts w:ascii="宋体" w:hAnsi="宋体" w:eastAsia="宋体" w:cs="Arial"/>
                <w:kern w:val="0"/>
                <w:sz w:val="22"/>
                <w:szCs w:val="22"/>
              </w:rPr>
            </w:pPr>
            <w:r>
              <w:rPr>
                <w:rFonts w:hint="eastAsia" w:ascii="宋体" w:hAnsi="宋体" w:eastAsia="宋体" w:cs="Arial"/>
                <w:kern w:val="0"/>
                <w:sz w:val="22"/>
                <w:szCs w:val="22"/>
              </w:rPr>
              <w:t>说明：博望区人民检察院没有国有资本经营预算财政拨款安排的支出，故本表无数据。</w:t>
            </w:r>
          </w:p>
        </w:tc>
      </w:tr>
    </w:tbl>
    <w:p>
      <w:pPr>
        <w:ind w:firstLine="640" w:firstLineChars="200"/>
        <w:rPr>
          <w:rFonts w:ascii="黑体" w:hAnsi="黑体" w:eastAsia="黑体"/>
          <w:szCs w:val="32"/>
        </w:rPr>
      </w:pPr>
    </w:p>
    <w:p>
      <w:pPr>
        <w:ind w:firstLine="640" w:firstLineChars="200"/>
        <w:rPr>
          <w:rFonts w:ascii="黑体" w:hAnsi="黑体" w:eastAsia="黑体"/>
          <w:szCs w:val="32"/>
        </w:rPr>
      </w:pPr>
      <w:r>
        <w:rPr>
          <w:rFonts w:hint="eastAsia" w:ascii="黑体" w:hAnsi="黑体" w:eastAsia="黑体"/>
          <w:szCs w:val="32"/>
        </w:rPr>
        <w:t>第三部分 马鞍山市博望区人民检察院2022年度部门决算情况说明</w:t>
      </w:r>
    </w:p>
    <w:p>
      <w:pPr>
        <w:ind w:firstLine="640" w:firstLineChars="200"/>
        <w:rPr>
          <w:rFonts w:ascii="黑体" w:hAnsi="黑体" w:eastAsia="黑体"/>
          <w:szCs w:val="32"/>
        </w:rPr>
      </w:pPr>
      <w:r>
        <w:rPr>
          <w:rFonts w:hint="eastAsia" w:ascii="黑体" w:hAnsi="黑体" w:eastAsia="黑体"/>
          <w:szCs w:val="32"/>
        </w:rPr>
        <w:t>一、收入支出决算总体情况说明</w:t>
      </w:r>
    </w:p>
    <w:p>
      <w:pPr>
        <w:ind w:firstLine="640" w:firstLineChars="200"/>
        <w:rPr>
          <w:rFonts w:ascii="仿宋_GB2312" w:hAnsi="仿宋"/>
          <w:szCs w:val="32"/>
        </w:rPr>
      </w:pPr>
      <w:r>
        <w:rPr>
          <w:rFonts w:hint="eastAsia" w:ascii="仿宋_GB2312" w:hAnsi="仿宋"/>
          <w:szCs w:val="32"/>
        </w:rPr>
        <w:t>2022年度收入总计1361.17万元（含使用非财6政拨款结余、年初结转和结余）、支出总计1361.17万元（含结余分配、年末结转和结余）。与2021年相比，收、支总计各减少820.98万元，下降37.62%，主要原因是“两房”基建支出减少。</w:t>
      </w:r>
    </w:p>
    <w:p>
      <w:pPr>
        <w:ind w:firstLine="640" w:firstLineChars="200"/>
        <w:rPr>
          <w:rFonts w:ascii="黑体" w:hAnsi="仿宋" w:eastAsia="黑体"/>
          <w:szCs w:val="32"/>
        </w:rPr>
      </w:pPr>
      <w:r>
        <w:rPr>
          <w:rFonts w:hint="eastAsia" w:ascii="黑体" w:hAnsi="仿宋" w:eastAsia="黑体"/>
          <w:szCs w:val="32"/>
        </w:rPr>
        <w:t>二、收入决算情况说明</w:t>
      </w:r>
    </w:p>
    <w:p>
      <w:pPr>
        <w:ind w:firstLine="640" w:firstLineChars="200"/>
        <w:rPr>
          <w:rFonts w:ascii="仿宋_GB2312" w:hAnsi="仿宋"/>
          <w:szCs w:val="32"/>
        </w:rPr>
      </w:pPr>
      <w:r>
        <w:rPr>
          <w:rFonts w:hint="eastAsia" w:ascii="仿宋_GB2312" w:hAnsi="仿宋"/>
          <w:szCs w:val="32"/>
        </w:rPr>
        <w:t>2022年度收入合计1361.17万元，其中：财政拨款收入1361.17万元，占100%。</w:t>
      </w:r>
    </w:p>
    <w:p>
      <w:pPr>
        <w:ind w:firstLine="640" w:firstLineChars="200"/>
        <w:rPr>
          <w:rFonts w:ascii="黑体" w:hAnsi="仿宋" w:eastAsia="黑体"/>
          <w:szCs w:val="32"/>
        </w:rPr>
      </w:pPr>
      <w:r>
        <w:rPr>
          <w:rFonts w:hint="eastAsia" w:ascii="黑体" w:hAnsi="仿宋" w:eastAsia="黑体"/>
          <w:szCs w:val="32"/>
        </w:rPr>
        <w:t>三、支出决算情况说明</w:t>
      </w:r>
    </w:p>
    <w:p>
      <w:pPr>
        <w:ind w:firstLine="640" w:firstLineChars="200"/>
        <w:rPr>
          <w:rFonts w:ascii="仿宋_GB2312" w:hAnsi="仿宋"/>
          <w:szCs w:val="32"/>
        </w:rPr>
      </w:pPr>
      <w:r>
        <w:rPr>
          <w:rFonts w:hint="eastAsia" w:ascii="仿宋_GB2312" w:hAnsi="仿宋"/>
          <w:szCs w:val="32"/>
        </w:rPr>
        <w:t>2022年度支出合计1361.17万元，其中：基本支出1059.84万元，占78%；项目支出301.33万元，占22%。</w:t>
      </w:r>
    </w:p>
    <w:p>
      <w:pPr>
        <w:ind w:firstLine="640" w:firstLineChars="200"/>
        <w:rPr>
          <w:rFonts w:ascii="黑体" w:hAnsi="黑体" w:eastAsia="黑体" w:cs="黑体"/>
          <w:bCs/>
          <w:szCs w:val="32"/>
        </w:rPr>
      </w:pPr>
      <w:r>
        <w:rPr>
          <w:rFonts w:hint="eastAsia" w:ascii="黑体" w:hAnsi="黑体" w:eastAsia="黑体" w:cs="黑体"/>
          <w:bCs/>
          <w:szCs w:val="32"/>
        </w:rPr>
        <w:t>四、财政拨款收入支出决算总体情况说明</w:t>
      </w:r>
    </w:p>
    <w:p>
      <w:pPr>
        <w:ind w:firstLine="640" w:firstLineChars="200"/>
        <w:rPr>
          <w:rFonts w:ascii="仿宋_GB2312" w:hAnsi="仿宋"/>
          <w:szCs w:val="32"/>
        </w:rPr>
      </w:pPr>
      <w:r>
        <w:rPr>
          <w:rFonts w:hint="eastAsia" w:ascii="仿宋_GB2312" w:hAnsi="仿宋_GB2312" w:cs="仿宋_GB2312"/>
          <w:bCs/>
          <w:szCs w:val="32"/>
        </w:rPr>
        <w:t>2022年度财政拨款收入</w:t>
      </w:r>
      <w:r>
        <w:rPr>
          <w:rFonts w:hint="eastAsia" w:ascii="仿宋_GB2312" w:hAnsi="仿宋"/>
          <w:szCs w:val="32"/>
        </w:rPr>
        <w:t>总计1361.17万元（含年初财政拨款结转</w:t>
      </w:r>
      <w:r>
        <w:rPr>
          <w:rFonts w:hint="eastAsia" w:ascii="仿宋_GB2312" w:hAnsi="仿宋_GB2312" w:cs="仿宋_GB2312"/>
          <w:bCs/>
          <w:szCs w:val="32"/>
        </w:rPr>
        <w:t>和结</w:t>
      </w:r>
      <w:r>
        <w:rPr>
          <w:rFonts w:hint="eastAsia" w:ascii="仿宋_GB2312" w:hAnsi="仿宋"/>
          <w:szCs w:val="32"/>
        </w:rPr>
        <w:t>余），支出总计1361.17万元（含年末财政拨款结转和结余）。与2021年相比，财政拨款收、支总计各减少820.98万元，下降38%，主要原因是“两房”基建支出减少。</w:t>
      </w:r>
    </w:p>
    <w:p>
      <w:pPr>
        <w:ind w:firstLine="640" w:firstLineChars="200"/>
        <w:rPr>
          <w:rFonts w:ascii="黑体" w:hAnsi="仿宋" w:eastAsia="黑体"/>
          <w:szCs w:val="32"/>
        </w:rPr>
      </w:pPr>
      <w:r>
        <w:rPr>
          <w:rFonts w:hint="eastAsia" w:ascii="黑体" w:hAnsi="仿宋" w:eastAsia="黑体"/>
          <w:szCs w:val="32"/>
        </w:rPr>
        <w:t>五、一般公共预算财政拨款支出决算情况说明</w:t>
      </w:r>
    </w:p>
    <w:p>
      <w:pPr>
        <w:ind w:firstLine="643" w:firstLineChars="200"/>
        <w:rPr>
          <w:rFonts w:ascii="仿宋_GB2312" w:hAnsi="仿宋"/>
          <w:b/>
          <w:bCs/>
          <w:szCs w:val="32"/>
        </w:rPr>
      </w:pPr>
      <w:r>
        <w:rPr>
          <w:rFonts w:hint="eastAsia" w:ascii="仿宋_GB2312" w:hAnsi="仿宋"/>
          <w:b/>
          <w:bCs/>
          <w:szCs w:val="32"/>
        </w:rPr>
        <w:t>（一）一般公共预算财政拨款支出决算总体情况。</w:t>
      </w:r>
    </w:p>
    <w:p>
      <w:pPr>
        <w:ind w:firstLine="640" w:firstLineChars="200"/>
        <w:rPr>
          <w:rFonts w:ascii="仿宋_GB2312" w:hAnsi="仿宋"/>
          <w:szCs w:val="32"/>
        </w:rPr>
      </w:pPr>
      <w:r>
        <w:rPr>
          <w:rFonts w:hint="eastAsia" w:ascii="仿宋_GB2312" w:hAnsi="仿宋_GB2312" w:cs="仿宋_GB2312"/>
          <w:bCs/>
          <w:szCs w:val="32"/>
        </w:rPr>
        <w:t>2022年度一般公共预算财政拨款支出1361.17万元，占本年支出的100%。与2021年相比，一般公共预算财政拨款支出减少815.87万元，下降37%。主要原因是项目资金减少。</w:t>
      </w:r>
    </w:p>
    <w:p>
      <w:pPr>
        <w:ind w:firstLine="643" w:firstLineChars="200"/>
        <w:rPr>
          <w:rFonts w:ascii="仿宋_GB2312" w:hAnsi="仿宋"/>
          <w:b/>
          <w:szCs w:val="32"/>
        </w:rPr>
      </w:pPr>
      <w:r>
        <w:rPr>
          <w:rFonts w:hint="eastAsia" w:ascii="仿宋_GB2312" w:hAnsi="仿宋"/>
          <w:b/>
          <w:szCs w:val="32"/>
        </w:rPr>
        <w:t>（二）一般公共预算财政拨款支出决算结构情况。</w:t>
      </w:r>
    </w:p>
    <w:p>
      <w:pPr>
        <w:ind w:firstLine="640" w:firstLineChars="200"/>
        <w:rPr>
          <w:rFonts w:ascii="仿宋_GB2312" w:hAnsi="仿宋"/>
          <w:szCs w:val="32"/>
        </w:rPr>
      </w:pPr>
      <w:r>
        <w:rPr>
          <w:rFonts w:hint="eastAsia" w:ascii="仿宋_GB2312" w:hAnsi="仿宋"/>
          <w:szCs w:val="32"/>
        </w:rPr>
        <w:t>2022年度一般公共预算财政拨款支出1361.17万元，主要用于以下方面：</w:t>
      </w:r>
      <w:r>
        <w:rPr>
          <w:rFonts w:hint="eastAsia" w:ascii="仿宋_GB2312" w:hAnsi="仿宋"/>
          <w:b/>
          <w:szCs w:val="32"/>
        </w:rPr>
        <w:t>一般公共服务（类）</w:t>
      </w:r>
      <w:r>
        <w:rPr>
          <w:rFonts w:hint="eastAsia" w:ascii="仿宋_GB2312" w:hAnsi="仿宋"/>
          <w:szCs w:val="32"/>
        </w:rPr>
        <w:t>支出1.96万元，占0.14%;</w:t>
      </w:r>
      <w:r>
        <w:rPr>
          <w:rFonts w:hint="eastAsia" w:ascii="仿宋_GB2312" w:hAnsi="仿宋"/>
          <w:b/>
          <w:bCs/>
          <w:szCs w:val="32"/>
        </w:rPr>
        <w:t>公共安全</w:t>
      </w:r>
      <w:r>
        <w:rPr>
          <w:rFonts w:hint="eastAsia" w:ascii="仿宋_GB2312" w:hAnsi="仿宋"/>
          <w:b/>
          <w:szCs w:val="32"/>
        </w:rPr>
        <w:t>（类）</w:t>
      </w:r>
      <w:r>
        <w:rPr>
          <w:rFonts w:hint="eastAsia" w:ascii="仿宋_GB2312" w:hAnsi="仿宋"/>
          <w:szCs w:val="32"/>
        </w:rPr>
        <w:t>支出909.17万元，占66.79%；</w:t>
      </w:r>
      <w:r>
        <w:rPr>
          <w:rFonts w:hint="eastAsia" w:ascii="仿宋_GB2312" w:hAnsi="仿宋"/>
          <w:b/>
          <w:szCs w:val="32"/>
        </w:rPr>
        <w:t>社会保障和就业（类）</w:t>
      </w:r>
      <w:r>
        <w:rPr>
          <w:rFonts w:hint="eastAsia" w:ascii="仿宋_GB2312" w:hAnsi="仿宋"/>
          <w:szCs w:val="32"/>
        </w:rPr>
        <w:t>支出41.29万元，占3.03%；</w:t>
      </w:r>
      <w:r>
        <w:rPr>
          <w:rFonts w:hint="eastAsia" w:ascii="仿宋_GB2312" w:hAnsi="仿宋"/>
          <w:b/>
          <w:bCs/>
          <w:szCs w:val="32"/>
        </w:rPr>
        <w:t>卫生健康</w:t>
      </w:r>
      <w:r>
        <w:rPr>
          <w:rFonts w:hint="eastAsia" w:ascii="仿宋_GB2312" w:hAnsi="仿宋"/>
          <w:b/>
          <w:szCs w:val="32"/>
        </w:rPr>
        <w:t>（类）</w:t>
      </w:r>
      <w:r>
        <w:rPr>
          <w:rFonts w:hint="eastAsia" w:ascii="仿宋_GB2312" w:hAnsi="仿宋"/>
          <w:szCs w:val="32"/>
        </w:rPr>
        <w:t>支出15.12万元，占1.11%；</w:t>
      </w:r>
      <w:r>
        <w:rPr>
          <w:rFonts w:hint="eastAsia" w:ascii="仿宋_GB2312" w:hAnsi="仿宋"/>
          <w:b/>
          <w:szCs w:val="32"/>
        </w:rPr>
        <w:t>城乡社区（类）</w:t>
      </w:r>
      <w:r>
        <w:rPr>
          <w:rFonts w:hint="eastAsia" w:ascii="仿宋_GB2312" w:hAnsi="仿宋"/>
          <w:szCs w:val="32"/>
        </w:rPr>
        <w:t>支出314.75万元，占23.12%；</w:t>
      </w:r>
      <w:r>
        <w:rPr>
          <w:rFonts w:hint="eastAsia" w:ascii="仿宋_GB2312" w:hAnsi="仿宋"/>
          <w:b/>
          <w:szCs w:val="32"/>
        </w:rPr>
        <w:t>住房保障（类）</w:t>
      </w:r>
      <w:r>
        <w:rPr>
          <w:rFonts w:hint="eastAsia" w:ascii="仿宋_GB2312" w:hAnsi="仿宋"/>
          <w:szCs w:val="32"/>
        </w:rPr>
        <w:t>支出78.86万元，占5.79%。</w:t>
      </w:r>
    </w:p>
    <w:p>
      <w:pPr>
        <w:ind w:firstLine="643" w:firstLineChars="200"/>
        <w:rPr>
          <w:rFonts w:ascii="仿宋_GB2312" w:hAnsi="仿宋"/>
          <w:b/>
          <w:bCs/>
          <w:szCs w:val="32"/>
        </w:rPr>
      </w:pPr>
      <w:r>
        <w:rPr>
          <w:rFonts w:hint="eastAsia" w:ascii="仿宋_GB2312" w:hAnsi="仿宋"/>
          <w:b/>
          <w:bCs/>
          <w:szCs w:val="32"/>
        </w:rPr>
        <w:t>（三）一般公共预算财政拨款支出决算具体情况。</w:t>
      </w:r>
    </w:p>
    <w:p>
      <w:pPr>
        <w:ind w:firstLine="640" w:firstLineChars="200"/>
        <w:rPr>
          <w:rFonts w:ascii="仿宋_GB2312" w:hAnsi="仿宋"/>
          <w:szCs w:val="32"/>
        </w:rPr>
      </w:pPr>
      <w:r>
        <w:rPr>
          <w:rFonts w:hint="eastAsia" w:ascii="仿宋_GB2312" w:hAnsi="仿宋"/>
          <w:szCs w:val="32"/>
        </w:rPr>
        <w:t>2022年度一般公共预算财政拨款支出年初预算为1361.17万元，支出决算为1361.17万元，完成年初预算的100%。其中:基本支出1059.84万元，占78%；项目支出301.33万元，占22%。具体情况如下：</w:t>
      </w:r>
    </w:p>
    <w:p>
      <w:pPr>
        <w:ind w:firstLine="640" w:firstLineChars="200"/>
        <w:rPr>
          <w:rFonts w:ascii="仿宋_GB2312" w:hAnsi="仿宋"/>
          <w:szCs w:val="32"/>
        </w:rPr>
      </w:pPr>
      <w:r>
        <w:rPr>
          <w:rFonts w:hint="eastAsia" w:ascii="仿宋_GB2312" w:hAnsi="仿宋"/>
          <w:szCs w:val="32"/>
        </w:rPr>
        <w:t>1.</w:t>
      </w:r>
      <w:r>
        <w:rPr>
          <w:rFonts w:hint="eastAsia" w:ascii="仿宋_GB2312" w:hAnsi="仿宋"/>
          <w:b/>
          <w:szCs w:val="32"/>
        </w:rPr>
        <w:t xml:space="preserve"> 一般公共服务支出（类）</w:t>
      </w:r>
      <w:r>
        <w:rPr>
          <w:rFonts w:hint="eastAsia"/>
          <w:b/>
          <w:szCs w:val="32"/>
        </w:rPr>
        <w:t>财政事务</w:t>
      </w:r>
      <w:r>
        <w:rPr>
          <w:rFonts w:hint="eastAsia" w:ascii="仿宋_GB2312" w:hAnsi="仿宋"/>
          <w:b/>
          <w:szCs w:val="32"/>
        </w:rPr>
        <w:t>（款）其他财政事务支出（项）</w:t>
      </w:r>
      <w:r>
        <w:rPr>
          <w:rFonts w:hint="eastAsia" w:ascii="仿宋_GB2312" w:hAnsi="仿宋"/>
          <w:szCs w:val="32"/>
        </w:rPr>
        <w:t>。年初预算为0万元，支出决算为1.96万元，完成年初预算的100%，决算数大于预算数的主要原因是经济科目功能分类进行了调整。</w:t>
      </w:r>
    </w:p>
    <w:p>
      <w:pPr>
        <w:ind w:firstLine="640" w:firstLineChars="200"/>
        <w:rPr>
          <w:rFonts w:ascii="仿宋_GB2312" w:hAnsi="仿宋"/>
          <w:szCs w:val="32"/>
        </w:rPr>
      </w:pPr>
      <w:r>
        <w:rPr>
          <w:rFonts w:hint="eastAsia" w:ascii="仿宋_GB2312" w:hAnsi="仿宋"/>
          <w:szCs w:val="32"/>
        </w:rPr>
        <w:t>2.</w:t>
      </w:r>
      <w:r>
        <w:rPr>
          <w:rFonts w:hint="eastAsia" w:ascii="仿宋_GB2312" w:hAnsi="仿宋"/>
          <w:b/>
          <w:szCs w:val="32"/>
        </w:rPr>
        <w:t>公共安全支出（类）</w:t>
      </w:r>
      <w:r>
        <w:rPr>
          <w:rFonts w:hint="eastAsia"/>
          <w:b/>
          <w:szCs w:val="32"/>
        </w:rPr>
        <w:t>公安</w:t>
      </w:r>
      <w:r>
        <w:rPr>
          <w:rFonts w:hint="eastAsia" w:ascii="仿宋_GB2312" w:hAnsi="仿宋"/>
          <w:b/>
          <w:szCs w:val="32"/>
        </w:rPr>
        <w:t>（款）其他公安支出（项）</w:t>
      </w:r>
      <w:r>
        <w:rPr>
          <w:rFonts w:hint="eastAsia" w:ascii="仿宋_GB2312" w:hAnsi="仿宋"/>
          <w:szCs w:val="32"/>
        </w:rPr>
        <w:t>。年初预算为0万元，支出决算为32.05万元，完成年初预算的100%，决算数大于预算数的主要原因是经济科目功能分类进行了调整。</w:t>
      </w:r>
    </w:p>
    <w:p>
      <w:pPr>
        <w:ind w:firstLine="640" w:firstLineChars="200"/>
        <w:rPr>
          <w:rFonts w:ascii="仿宋_GB2312" w:hAnsi="仿宋"/>
          <w:szCs w:val="32"/>
          <w:highlight w:val="yellow"/>
        </w:rPr>
      </w:pPr>
      <w:r>
        <w:rPr>
          <w:rFonts w:hint="eastAsia" w:ascii="仿宋_GB2312" w:hAnsi="仿宋"/>
          <w:szCs w:val="32"/>
        </w:rPr>
        <w:t>3.</w:t>
      </w:r>
      <w:r>
        <w:rPr>
          <w:rFonts w:hint="eastAsia" w:ascii="仿宋_GB2312" w:hAnsi="仿宋"/>
          <w:b/>
          <w:szCs w:val="32"/>
        </w:rPr>
        <w:t>公共安全（类）检察（款）行政运行（项）。</w:t>
      </w:r>
      <w:r>
        <w:rPr>
          <w:rFonts w:hint="eastAsia" w:ascii="仿宋_GB2312" w:hAnsi="仿宋"/>
          <w:szCs w:val="32"/>
        </w:rPr>
        <w:t>年初预算为340.34万元，支出决算为475.13万元，完成年初预算的139.60%，决算数大于预算数的主要原因是预算数据不包括中央和省级政法转移支付资金支出。</w:t>
      </w:r>
    </w:p>
    <w:p>
      <w:pPr>
        <w:ind w:firstLine="640" w:firstLineChars="200"/>
        <w:rPr>
          <w:rFonts w:ascii="仿宋_GB2312" w:hAnsi="仿宋"/>
          <w:szCs w:val="32"/>
        </w:rPr>
      </w:pPr>
      <w:r>
        <w:rPr>
          <w:rFonts w:hint="eastAsia" w:ascii="仿宋_GB2312" w:hAnsi="仿宋"/>
          <w:szCs w:val="32"/>
        </w:rPr>
        <w:t>4.</w:t>
      </w:r>
      <w:r>
        <w:rPr>
          <w:rFonts w:hint="eastAsia" w:ascii="仿宋_GB2312" w:hAnsi="仿宋"/>
          <w:b/>
          <w:szCs w:val="32"/>
        </w:rPr>
        <w:t>公共安全（类）检察（款）一般行政管理事务（项）。</w:t>
      </w:r>
      <w:r>
        <w:rPr>
          <w:rFonts w:hint="eastAsia" w:ascii="仿宋_GB2312" w:hAnsi="仿宋"/>
          <w:szCs w:val="32"/>
        </w:rPr>
        <w:t>年初预算为162.3万元，支出决算为280.73万元，完成年初预算的172.97%，决算数大于预算数的主要原因是预算数据不包括中央和省级政法转移支付资金支出。</w:t>
      </w:r>
    </w:p>
    <w:p>
      <w:pPr>
        <w:ind w:firstLine="640" w:firstLineChars="200"/>
        <w:rPr>
          <w:rFonts w:ascii="仿宋_GB2312" w:hAnsi="仿宋"/>
          <w:b/>
          <w:szCs w:val="32"/>
        </w:rPr>
      </w:pPr>
      <w:r>
        <w:rPr>
          <w:rFonts w:hint="eastAsia" w:ascii="仿宋_GB2312" w:hAnsi="仿宋"/>
          <w:szCs w:val="32"/>
        </w:rPr>
        <w:t>5．</w:t>
      </w:r>
      <w:r>
        <w:rPr>
          <w:rFonts w:hint="eastAsia" w:ascii="仿宋_GB2312" w:hAnsi="仿宋"/>
          <w:b/>
          <w:szCs w:val="32"/>
        </w:rPr>
        <w:t>公共安全务支出（类）检察（款）“两房”建设（项）。</w:t>
      </w:r>
    </w:p>
    <w:p>
      <w:pPr>
        <w:rPr>
          <w:rFonts w:ascii="仿宋_GB2312" w:hAnsi="仿宋"/>
          <w:szCs w:val="32"/>
        </w:rPr>
      </w:pPr>
      <w:r>
        <w:rPr>
          <w:rFonts w:hint="eastAsia" w:ascii="仿宋_GB2312" w:hAnsi="仿宋"/>
          <w:szCs w:val="32"/>
        </w:rPr>
        <w:t>年初预算为450万元，支出决算为115.76万元，完成年初预算的25.72%，决算数小于预算数的主要原因是“两房”建设审计未完成，剩余基建款未支付完成。</w:t>
      </w:r>
    </w:p>
    <w:p>
      <w:pPr>
        <w:ind w:firstLine="640" w:firstLineChars="200"/>
        <w:rPr>
          <w:rFonts w:ascii="仿宋_GB2312" w:hAnsi="仿宋"/>
          <w:b/>
          <w:szCs w:val="32"/>
        </w:rPr>
      </w:pPr>
      <w:r>
        <w:rPr>
          <w:rFonts w:ascii="仿宋_GB2312" w:hAnsi="仿宋"/>
          <w:szCs w:val="32"/>
        </w:rPr>
        <w:t>6</w:t>
      </w:r>
      <w:r>
        <w:rPr>
          <w:rFonts w:hint="eastAsia" w:ascii="仿宋_GB2312" w:hAnsi="仿宋"/>
          <w:szCs w:val="32"/>
        </w:rPr>
        <w:t>．</w:t>
      </w:r>
      <w:r>
        <w:rPr>
          <w:rFonts w:hint="eastAsia" w:ascii="仿宋_GB2312" w:hAnsi="仿宋"/>
          <w:b/>
          <w:szCs w:val="32"/>
        </w:rPr>
        <w:t>公共安全务支出（类）司法（款）基础司法业务（项）。</w:t>
      </w:r>
    </w:p>
    <w:p>
      <w:pPr>
        <w:rPr>
          <w:rFonts w:hint="eastAsia" w:ascii="仿宋_GB2312" w:hAnsi="仿宋"/>
          <w:szCs w:val="32"/>
        </w:rPr>
      </w:pPr>
      <w:r>
        <w:rPr>
          <w:rFonts w:hint="eastAsia" w:ascii="仿宋_GB2312" w:hAnsi="仿宋"/>
          <w:szCs w:val="32"/>
        </w:rPr>
        <w:t>年初预算为</w:t>
      </w:r>
      <w:r>
        <w:rPr>
          <w:rFonts w:ascii="仿宋_GB2312" w:hAnsi="仿宋"/>
          <w:szCs w:val="32"/>
        </w:rPr>
        <w:t>0</w:t>
      </w:r>
      <w:r>
        <w:rPr>
          <w:rFonts w:hint="eastAsia" w:ascii="仿宋_GB2312" w:hAnsi="仿宋"/>
          <w:szCs w:val="32"/>
        </w:rPr>
        <w:t>万元，支出决算为</w:t>
      </w:r>
      <w:r>
        <w:rPr>
          <w:rFonts w:ascii="仿宋_GB2312" w:hAnsi="仿宋"/>
          <w:szCs w:val="32"/>
        </w:rPr>
        <w:t>5</w:t>
      </w:r>
      <w:r>
        <w:rPr>
          <w:rFonts w:hint="eastAsia" w:ascii="仿宋_GB2312" w:hAnsi="仿宋"/>
          <w:szCs w:val="32"/>
        </w:rPr>
        <w:t>万元，完成年初预算的</w:t>
      </w:r>
      <w:r>
        <w:rPr>
          <w:rFonts w:ascii="仿宋_GB2312" w:hAnsi="仿宋"/>
          <w:szCs w:val="32"/>
        </w:rPr>
        <w:t>100</w:t>
      </w:r>
      <w:r>
        <w:rPr>
          <w:rFonts w:hint="eastAsia" w:ascii="仿宋_GB2312" w:hAnsi="仿宋"/>
          <w:szCs w:val="32"/>
        </w:rPr>
        <w:t>%，决算数小于预算数的主要原因是司法局转来司法救助金，案件办理在我院阶段发放。</w:t>
      </w:r>
    </w:p>
    <w:p>
      <w:pPr>
        <w:ind w:firstLine="640" w:firstLineChars="200"/>
        <w:rPr>
          <w:rFonts w:hint="eastAsia" w:ascii="仿宋_GB2312" w:hAnsi="仿宋"/>
          <w:b/>
          <w:szCs w:val="32"/>
        </w:rPr>
      </w:pPr>
      <w:r>
        <w:rPr>
          <w:rFonts w:ascii="仿宋_GB2312" w:hAnsi="仿宋"/>
          <w:szCs w:val="32"/>
        </w:rPr>
        <w:t>7</w:t>
      </w:r>
      <w:r>
        <w:rPr>
          <w:rFonts w:hint="eastAsia" w:ascii="仿宋_GB2312" w:hAnsi="仿宋"/>
          <w:szCs w:val="32"/>
        </w:rPr>
        <w:t>．</w:t>
      </w:r>
      <w:r>
        <w:rPr>
          <w:rFonts w:hint="eastAsia" w:ascii="仿宋_GB2312" w:hAnsi="仿宋"/>
          <w:b/>
          <w:szCs w:val="32"/>
        </w:rPr>
        <w:t>社会保障和就业支出（类）人力资源和社会保障管理事务（款）引进人才费用（项）。</w:t>
      </w:r>
      <w:r>
        <w:rPr>
          <w:rFonts w:hint="eastAsia" w:ascii="仿宋_GB2312" w:hAnsi="仿宋"/>
          <w:szCs w:val="32"/>
        </w:rPr>
        <w:t>年初预算为</w:t>
      </w:r>
      <w:r>
        <w:rPr>
          <w:rFonts w:ascii="仿宋_GB2312" w:hAnsi="仿宋"/>
          <w:szCs w:val="32"/>
        </w:rPr>
        <w:t>0</w:t>
      </w:r>
      <w:r>
        <w:rPr>
          <w:rFonts w:hint="eastAsia" w:ascii="仿宋_GB2312" w:hAnsi="仿宋"/>
          <w:szCs w:val="32"/>
        </w:rPr>
        <w:t>万元，支出决算为</w:t>
      </w:r>
      <w:r>
        <w:rPr>
          <w:rFonts w:ascii="仿宋_GB2312" w:hAnsi="仿宋"/>
          <w:szCs w:val="32"/>
        </w:rPr>
        <w:t>2</w:t>
      </w:r>
      <w:r>
        <w:rPr>
          <w:rFonts w:hint="eastAsia" w:ascii="仿宋_GB2312" w:hAnsi="仿宋"/>
          <w:szCs w:val="32"/>
        </w:rPr>
        <w:t>万元，完成年初预算的</w:t>
      </w:r>
      <w:r>
        <w:rPr>
          <w:rFonts w:ascii="仿宋_GB2312" w:hAnsi="仿宋"/>
          <w:szCs w:val="32"/>
        </w:rPr>
        <w:t>100</w:t>
      </w:r>
      <w:r>
        <w:rPr>
          <w:rFonts w:hint="eastAsia" w:ascii="仿宋_GB2312" w:hAnsi="仿宋"/>
          <w:szCs w:val="32"/>
        </w:rPr>
        <w:t>%，决算数小于预算数的主要原因是人社局转来人才引进补助款，我院有两名人才引进，各1万元，由我院发放。</w:t>
      </w:r>
    </w:p>
    <w:p>
      <w:pPr>
        <w:ind w:firstLine="640" w:firstLineChars="200"/>
        <w:rPr>
          <w:rFonts w:hint="eastAsia" w:ascii="仿宋_GB2312" w:hAnsi="仿宋"/>
          <w:b/>
          <w:szCs w:val="32"/>
        </w:rPr>
      </w:pPr>
      <w:r>
        <w:rPr>
          <w:rFonts w:ascii="仿宋_GB2312" w:hAnsi="仿宋"/>
          <w:szCs w:val="32"/>
        </w:rPr>
        <w:t>8</w:t>
      </w:r>
      <w:r>
        <w:rPr>
          <w:rFonts w:hint="eastAsia" w:ascii="仿宋_GB2312" w:hAnsi="仿宋"/>
          <w:szCs w:val="32"/>
        </w:rPr>
        <w:t>．</w:t>
      </w:r>
      <w:r>
        <w:rPr>
          <w:rFonts w:hint="eastAsia" w:ascii="仿宋_GB2312" w:hAnsi="仿宋"/>
          <w:b/>
          <w:szCs w:val="32"/>
        </w:rPr>
        <w:t>社会保障和就业支出（类）行政事业单位养老支出（款）行政单位离退休（项）。</w:t>
      </w:r>
      <w:r>
        <w:rPr>
          <w:rFonts w:hint="eastAsia" w:ascii="仿宋_GB2312" w:hAnsi="仿宋"/>
          <w:szCs w:val="32"/>
        </w:rPr>
        <w:t>年初预算为</w:t>
      </w:r>
      <w:r>
        <w:rPr>
          <w:rFonts w:ascii="仿宋_GB2312" w:hAnsi="仿宋"/>
          <w:szCs w:val="32"/>
        </w:rPr>
        <w:t>0</w:t>
      </w:r>
      <w:r>
        <w:rPr>
          <w:rFonts w:hint="eastAsia" w:ascii="仿宋_GB2312" w:hAnsi="仿宋"/>
          <w:szCs w:val="32"/>
        </w:rPr>
        <w:t>.5</w:t>
      </w:r>
      <w:r>
        <w:rPr>
          <w:rFonts w:ascii="仿宋_GB2312" w:hAnsi="仿宋"/>
          <w:szCs w:val="32"/>
        </w:rPr>
        <w:t>1</w:t>
      </w:r>
      <w:r>
        <w:rPr>
          <w:rFonts w:hint="eastAsia" w:ascii="仿宋_GB2312" w:hAnsi="仿宋"/>
          <w:szCs w:val="32"/>
        </w:rPr>
        <w:t>万元，支出决算为</w:t>
      </w:r>
      <w:r>
        <w:rPr>
          <w:rFonts w:ascii="仿宋_GB2312" w:hAnsi="仿宋"/>
          <w:szCs w:val="32"/>
        </w:rPr>
        <w:t>0.51</w:t>
      </w:r>
      <w:r>
        <w:rPr>
          <w:rFonts w:hint="eastAsia" w:ascii="仿宋_GB2312" w:hAnsi="仿宋"/>
          <w:szCs w:val="32"/>
        </w:rPr>
        <w:t>万元，完成年初预算的</w:t>
      </w:r>
      <w:r>
        <w:rPr>
          <w:rFonts w:ascii="仿宋_GB2312" w:hAnsi="仿宋"/>
          <w:szCs w:val="32"/>
        </w:rPr>
        <w:t>100</w:t>
      </w:r>
      <w:r>
        <w:rPr>
          <w:rFonts w:hint="eastAsia" w:ascii="仿宋_GB2312" w:hAnsi="仿宋"/>
          <w:szCs w:val="32"/>
        </w:rPr>
        <w:t>%。</w:t>
      </w:r>
    </w:p>
    <w:p>
      <w:pPr>
        <w:ind w:firstLine="640" w:firstLineChars="200"/>
        <w:rPr>
          <w:rFonts w:hint="eastAsia" w:ascii="仿宋_GB2312" w:hAnsi="仿宋"/>
          <w:b/>
          <w:szCs w:val="32"/>
        </w:rPr>
      </w:pPr>
      <w:r>
        <w:rPr>
          <w:rFonts w:ascii="仿宋_GB2312" w:hAnsi="仿宋"/>
          <w:szCs w:val="32"/>
        </w:rPr>
        <w:t>9</w:t>
      </w:r>
      <w:r>
        <w:rPr>
          <w:rFonts w:hint="eastAsia" w:ascii="仿宋_GB2312" w:hAnsi="仿宋"/>
          <w:szCs w:val="32"/>
        </w:rPr>
        <w:t>．</w:t>
      </w:r>
      <w:r>
        <w:rPr>
          <w:rFonts w:hint="eastAsia" w:ascii="仿宋_GB2312" w:hAnsi="仿宋"/>
          <w:b/>
          <w:szCs w:val="32"/>
        </w:rPr>
        <w:t>社会保障和就业支出（类）行政事业单位养老支出（款）事业单位离退休（项）。</w:t>
      </w:r>
      <w:r>
        <w:rPr>
          <w:rFonts w:hint="eastAsia" w:ascii="仿宋_GB2312" w:hAnsi="仿宋"/>
          <w:szCs w:val="32"/>
        </w:rPr>
        <w:t>年初预算为</w:t>
      </w:r>
      <w:r>
        <w:rPr>
          <w:rFonts w:ascii="仿宋_GB2312" w:hAnsi="仿宋"/>
          <w:szCs w:val="32"/>
        </w:rPr>
        <w:t>0</w:t>
      </w:r>
      <w:r>
        <w:rPr>
          <w:rFonts w:hint="eastAsia" w:ascii="仿宋_GB2312" w:hAnsi="仿宋"/>
          <w:szCs w:val="32"/>
        </w:rPr>
        <w:t>.5万元，支出决算为</w:t>
      </w:r>
      <w:r>
        <w:rPr>
          <w:rFonts w:ascii="仿宋_GB2312" w:hAnsi="仿宋"/>
          <w:szCs w:val="32"/>
        </w:rPr>
        <w:t>0.5</w:t>
      </w:r>
      <w:r>
        <w:rPr>
          <w:rFonts w:hint="eastAsia" w:ascii="仿宋_GB2312" w:hAnsi="仿宋"/>
          <w:szCs w:val="32"/>
        </w:rPr>
        <w:t>万元，完成年初预算的</w:t>
      </w:r>
      <w:r>
        <w:rPr>
          <w:rFonts w:ascii="仿宋_GB2312" w:hAnsi="仿宋"/>
          <w:szCs w:val="32"/>
        </w:rPr>
        <w:t>100</w:t>
      </w:r>
      <w:r>
        <w:rPr>
          <w:rFonts w:hint="eastAsia" w:ascii="仿宋_GB2312" w:hAnsi="仿宋"/>
          <w:szCs w:val="32"/>
        </w:rPr>
        <w:t>%。</w:t>
      </w:r>
    </w:p>
    <w:p>
      <w:pPr>
        <w:ind w:firstLine="640" w:firstLineChars="200"/>
        <w:rPr>
          <w:rFonts w:hint="eastAsia" w:ascii="仿宋_GB2312" w:hAnsi="仿宋"/>
          <w:b/>
          <w:szCs w:val="32"/>
        </w:rPr>
      </w:pPr>
      <w:r>
        <w:rPr>
          <w:rFonts w:ascii="仿宋_GB2312" w:hAnsi="仿宋"/>
          <w:szCs w:val="32"/>
        </w:rPr>
        <w:t>10</w:t>
      </w:r>
      <w:r>
        <w:rPr>
          <w:rFonts w:hint="eastAsia" w:ascii="仿宋_GB2312" w:hAnsi="仿宋"/>
          <w:szCs w:val="32"/>
        </w:rPr>
        <w:t>．</w:t>
      </w:r>
      <w:r>
        <w:rPr>
          <w:rFonts w:hint="eastAsia" w:ascii="仿宋_GB2312" w:hAnsi="仿宋"/>
          <w:b/>
          <w:szCs w:val="32"/>
        </w:rPr>
        <w:t>社会保障和就业支出（类）行政事业单位养老支出（款）机关事业单位基本养老保险缴费支出（项）。</w:t>
      </w:r>
      <w:r>
        <w:rPr>
          <w:rFonts w:hint="eastAsia" w:ascii="仿宋_GB2312" w:hAnsi="仿宋"/>
          <w:szCs w:val="32"/>
        </w:rPr>
        <w:t>年初预算为</w:t>
      </w:r>
      <w:r>
        <w:rPr>
          <w:rFonts w:ascii="仿宋_GB2312" w:hAnsi="仿宋"/>
          <w:szCs w:val="32"/>
        </w:rPr>
        <w:t>30.2</w:t>
      </w:r>
      <w:r>
        <w:rPr>
          <w:rFonts w:hint="eastAsia" w:ascii="仿宋_GB2312" w:hAnsi="仿宋"/>
          <w:szCs w:val="32"/>
        </w:rPr>
        <w:t>5万元，支出决算为</w:t>
      </w:r>
      <w:r>
        <w:rPr>
          <w:rFonts w:ascii="仿宋_GB2312" w:hAnsi="仿宋"/>
          <w:szCs w:val="32"/>
        </w:rPr>
        <w:t>30.25</w:t>
      </w:r>
      <w:r>
        <w:rPr>
          <w:rFonts w:hint="eastAsia" w:ascii="仿宋_GB2312" w:hAnsi="仿宋"/>
          <w:szCs w:val="32"/>
        </w:rPr>
        <w:t>万元，完成年初预算的</w:t>
      </w:r>
      <w:r>
        <w:rPr>
          <w:rFonts w:ascii="仿宋_GB2312" w:hAnsi="仿宋"/>
          <w:szCs w:val="32"/>
        </w:rPr>
        <w:t>100</w:t>
      </w:r>
      <w:r>
        <w:rPr>
          <w:rFonts w:hint="eastAsia" w:ascii="仿宋_GB2312" w:hAnsi="仿宋"/>
          <w:szCs w:val="32"/>
        </w:rPr>
        <w:t>%。</w:t>
      </w:r>
    </w:p>
    <w:p>
      <w:pPr>
        <w:ind w:firstLine="640" w:firstLineChars="200"/>
        <w:rPr>
          <w:rFonts w:hint="eastAsia" w:ascii="仿宋_GB2312" w:hAnsi="仿宋"/>
          <w:b/>
          <w:szCs w:val="32"/>
        </w:rPr>
      </w:pPr>
      <w:r>
        <w:rPr>
          <w:rFonts w:ascii="仿宋_GB2312" w:hAnsi="仿宋"/>
          <w:szCs w:val="32"/>
        </w:rPr>
        <w:t>11</w:t>
      </w:r>
      <w:r>
        <w:rPr>
          <w:rFonts w:hint="eastAsia" w:ascii="仿宋_GB2312" w:hAnsi="仿宋"/>
          <w:szCs w:val="32"/>
        </w:rPr>
        <w:t>．</w:t>
      </w:r>
      <w:r>
        <w:rPr>
          <w:rFonts w:hint="eastAsia" w:ascii="仿宋_GB2312" w:hAnsi="仿宋"/>
          <w:b/>
          <w:szCs w:val="32"/>
        </w:rPr>
        <w:t>社会保障和就业支出（类）行政事业单位养老支出（款）机关事业单位职业年金缴费支出（项）。</w:t>
      </w:r>
      <w:r>
        <w:rPr>
          <w:rFonts w:hint="eastAsia" w:ascii="仿宋_GB2312" w:hAnsi="仿宋"/>
          <w:szCs w:val="32"/>
        </w:rPr>
        <w:t>年初预算为</w:t>
      </w:r>
      <w:r>
        <w:rPr>
          <w:rFonts w:ascii="仿宋_GB2312" w:hAnsi="仿宋"/>
          <w:szCs w:val="32"/>
        </w:rPr>
        <w:t>7.56</w:t>
      </w:r>
      <w:r>
        <w:rPr>
          <w:rFonts w:hint="eastAsia" w:ascii="仿宋_GB2312" w:hAnsi="仿宋"/>
          <w:szCs w:val="32"/>
        </w:rPr>
        <w:t>万元，支出决算为</w:t>
      </w:r>
      <w:r>
        <w:rPr>
          <w:rFonts w:ascii="仿宋_GB2312" w:hAnsi="仿宋"/>
          <w:szCs w:val="32"/>
        </w:rPr>
        <w:t>7.56</w:t>
      </w:r>
      <w:r>
        <w:rPr>
          <w:rFonts w:hint="eastAsia" w:ascii="仿宋_GB2312" w:hAnsi="仿宋"/>
          <w:szCs w:val="32"/>
        </w:rPr>
        <w:t>万元，完成年初预算的</w:t>
      </w:r>
      <w:r>
        <w:rPr>
          <w:rFonts w:ascii="仿宋_GB2312" w:hAnsi="仿宋"/>
          <w:szCs w:val="32"/>
        </w:rPr>
        <w:t>100</w:t>
      </w:r>
      <w:r>
        <w:rPr>
          <w:rFonts w:hint="eastAsia" w:ascii="仿宋_GB2312" w:hAnsi="仿宋"/>
          <w:szCs w:val="32"/>
        </w:rPr>
        <w:t>%。</w:t>
      </w:r>
    </w:p>
    <w:p>
      <w:pPr>
        <w:ind w:firstLine="640" w:firstLineChars="200"/>
        <w:rPr>
          <w:rFonts w:hint="eastAsia" w:ascii="仿宋_GB2312" w:hAnsi="仿宋"/>
          <w:b/>
          <w:szCs w:val="32"/>
        </w:rPr>
      </w:pPr>
      <w:r>
        <w:rPr>
          <w:rFonts w:ascii="仿宋_GB2312" w:hAnsi="仿宋"/>
          <w:szCs w:val="32"/>
        </w:rPr>
        <w:t>12</w:t>
      </w:r>
      <w:r>
        <w:rPr>
          <w:rFonts w:hint="eastAsia" w:ascii="仿宋_GB2312" w:hAnsi="仿宋"/>
          <w:szCs w:val="32"/>
        </w:rPr>
        <w:t>．</w:t>
      </w:r>
      <w:r>
        <w:rPr>
          <w:rFonts w:hint="eastAsia" w:ascii="仿宋_GB2312" w:hAnsi="仿宋"/>
          <w:b/>
          <w:szCs w:val="32"/>
        </w:rPr>
        <w:t>社会保障和就业支出（类）其他社会保障和就业支出（款）其他社会保障和就业支出（项）。</w:t>
      </w:r>
      <w:r>
        <w:rPr>
          <w:rFonts w:hint="eastAsia" w:ascii="仿宋_GB2312" w:hAnsi="仿宋"/>
          <w:szCs w:val="32"/>
        </w:rPr>
        <w:t>年初预算为</w:t>
      </w:r>
      <w:r>
        <w:rPr>
          <w:rFonts w:ascii="仿宋_GB2312" w:hAnsi="仿宋"/>
          <w:szCs w:val="32"/>
        </w:rPr>
        <w:t>0.47</w:t>
      </w:r>
      <w:r>
        <w:rPr>
          <w:rFonts w:hint="eastAsia" w:ascii="仿宋_GB2312" w:hAnsi="仿宋"/>
          <w:szCs w:val="32"/>
        </w:rPr>
        <w:t>万元，支出决算为</w:t>
      </w:r>
      <w:r>
        <w:rPr>
          <w:rFonts w:ascii="仿宋_GB2312" w:hAnsi="仿宋"/>
          <w:szCs w:val="32"/>
        </w:rPr>
        <w:t>0.47</w:t>
      </w:r>
      <w:r>
        <w:rPr>
          <w:rFonts w:hint="eastAsia" w:ascii="仿宋_GB2312" w:hAnsi="仿宋"/>
          <w:szCs w:val="32"/>
        </w:rPr>
        <w:t>万元，完成年初预算的</w:t>
      </w:r>
      <w:r>
        <w:rPr>
          <w:rFonts w:ascii="仿宋_GB2312" w:hAnsi="仿宋"/>
          <w:szCs w:val="32"/>
        </w:rPr>
        <w:t>100</w:t>
      </w:r>
      <w:r>
        <w:rPr>
          <w:rFonts w:hint="eastAsia" w:ascii="仿宋_GB2312" w:hAnsi="仿宋"/>
          <w:szCs w:val="32"/>
        </w:rPr>
        <w:t>%。</w:t>
      </w:r>
    </w:p>
    <w:p>
      <w:pPr>
        <w:ind w:firstLine="640" w:firstLineChars="200"/>
        <w:rPr>
          <w:rFonts w:hint="eastAsia" w:ascii="仿宋_GB2312" w:hAnsi="仿宋"/>
          <w:color w:val="FF0000"/>
          <w:szCs w:val="32"/>
        </w:rPr>
      </w:pPr>
      <w:r>
        <w:rPr>
          <w:rFonts w:ascii="仿宋_GB2312" w:hAnsi="仿宋"/>
          <w:szCs w:val="32"/>
        </w:rPr>
        <w:t>13</w:t>
      </w:r>
      <w:r>
        <w:rPr>
          <w:rFonts w:hint="eastAsia" w:ascii="仿宋_GB2312" w:hAnsi="仿宋"/>
          <w:szCs w:val="32"/>
        </w:rPr>
        <w:t>.</w:t>
      </w:r>
      <w:r>
        <w:rPr>
          <w:rFonts w:hint="eastAsia" w:ascii="仿宋_GB2312" w:hAnsi="仿宋"/>
          <w:b/>
          <w:szCs w:val="32"/>
        </w:rPr>
        <w:t>卫生健康支出（类）行政事业单位医疗（款）行政单位医疗（项）</w:t>
      </w:r>
      <w:r>
        <w:rPr>
          <w:rFonts w:hint="eastAsia" w:ascii="仿宋_GB2312" w:hAnsi="仿宋"/>
          <w:b/>
          <w:color w:val="000000"/>
          <w:szCs w:val="32"/>
        </w:rPr>
        <w:t>。</w:t>
      </w:r>
      <w:r>
        <w:rPr>
          <w:rFonts w:hint="eastAsia" w:ascii="仿宋_GB2312" w:hAnsi="仿宋"/>
          <w:szCs w:val="32"/>
        </w:rPr>
        <w:t>年初预算为</w:t>
      </w:r>
      <w:r>
        <w:rPr>
          <w:rFonts w:ascii="仿宋_GB2312" w:hAnsi="仿宋"/>
          <w:szCs w:val="32"/>
        </w:rPr>
        <w:t>15.12</w:t>
      </w:r>
      <w:r>
        <w:rPr>
          <w:rFonts w:hint="eastAsia" w:ascii="仿宋_GB2312" w:hAnsi="仿宋"/>
          <w:szCs w:val="32"/>
        </w:rPr>
        <w:t>万元，支出决算为</w:t>
      </w:r>
      <w:r>
        <w:rPr>
          <w:rFonts w:ascii="仿宋_GB2312" w:hAnsi="仿宋"/>
          <w:szCs w:val="32"/>
        </w:rPr>
        <w:t>15.12</w:t>
      </w:r>
      <w:r>
        <w:rPr>
          <w:rFonts w:hint="eastAsia" w:ascii="仿宋_GB2312" w:hAnsi="仿宋"/>
          <w:szCs w:val="32"/>
        </w:rPr>
        <w:t>万元，完成年初预算的100%。</w:t>
      </w:r>
    </w:p>
    <w:p>
      <w:pPr>
        <w:ind w:firstLine="640" w:firstLineChars="200"/>
        <w:rPr>
          <w:rFonts w:ascii="仿宋_GB2312" w:hAnsi="仿宋"/>
          <w:szCs w:val="32"/>
        </w:rPr>
      </w:pPr>
      <w:r>
        <w:rPr>
          <w:rFonts w:ascii="仿宋_GB2312" w:hAnsi="仿宋"/>
          <w:szCs w:val="32"/>
        </w:rPr>
        <w:t>14</w:t>
      </w:r>
      <w:r>
        <w:rPr>
          <w:rFonts w:hint="eastAsia" w:ascii="仿宋_GB2312" w:hAnsi="仿宋"/>
          <w:szCs w:val="32"/>
        </w:rPr>
        <w:t>.</w:t>
      </w:r>
      <w:r>
        <w:rPr>
          <w:rFonts w:hint="eastAsia" w:ascii="仿宋_GB2312" w:hAnsi="仿宋"/>
          <w:b/>
          <w:szCs w:val="32"/>
        </w:rPr>
        <w:t>城乡社区支出（类）城乡社区管理事务支出（款）其他城乡社区管理事务支出（项）</w:t>
      </w:r>
      <w:r>
        <w:rPr>
          <w:rFonts w:hint="eastAsia" w:ascii="仿宋_GB2312" w:hAnsi="仿宋"/>
          <w:b/>
          <w:color w:val="000000"/>
          <w:szCs w:val="32"/>
        </w:rPr>
        <w:t>。</w:t>
      </w:r>
      <w:r>
        <w:rPr>
          <w:rFonts w:hint="eastAsia" w:ascii="仿宋_GB2312" w:hAnsi="仿宋"/>
          <w:szCs w:val="32"/>
        </w:rPr>
        <w:t>年初预算为</w:t>
      </w:r>
      <w:r>
        <w:rPr>
          <w:rFonts w:ascii="仿宋_GB2312" w:hAnsi="仿宋"/>
          <w:szCs w:val="32"/>
        </w:rPr>
        <w:t>0</w:t>
      </w:r>
      <w:r>
        <w:rPr>
          <w:rFonts w:hint="eastAsia" w:ascii="仿宋_GB2312" w:hAnsi="仿宋"/>
          <w:szCs w:val="32"/>
        </w:rPr>
        <w:t>万元，支出决算为1</w:t>
      </w:r>
      <w:r>
        <w:rPr>
          <w:rFonts w:ascii="仿宋_GB2312" w:hAnsi="仿宋"/>
          <w:szCs w:val="32"/>
        </w:rPr>
        <w:t>0</w:t>
      </w:r>
      <w:r>
        <w:rPr>
          <w:rFonts w:hint="eastAsia" w:ascii="仿宋_GB2312" w:hAnsi="仿宋"/>
          <w:szCs w:val="32"/>
        </w:rPr>
        <w:t>3</w:t>
      </w:r>
      <w:r>
        <w:rPr>
          <w:rFonts w:ascii="仿宋_GB2312" w:hAnsi="仿宋"/>
          <w:szCs w:val="32"/>
        </w:rPr>
        <w:t>.</w:t>
      </w:r>
      <w:r>
        <w:rPr>
          <w:rFonts w:hint="eastAsia" w:ascii="仿宋_GB2312" w:hAnsi="仿宋"/>
          <w:szCs w:val="32"/>
        </w:rPr>
        <w:t>2万元，完成年初预算的</w:t>
      </w:r>
      <w:r>
        <w:rPr>
          <w:rFonts w:ascii="仿宋_GB2312" w:hAnsi="仿宋"/>
          <w:szCs w:val="32"/>
        </w:rPr>
        <w:t>100</w:t>
      </w:r>
      <w:r>
        <w:rPr>
          <w:rFonts w:hint="eastAsia" w:ascii="仿宋_GB2312" w:hAnsi="仿宋"/>
          <w:szCs w:val="32"/>
        </w:rPr>
        <w:t>%，决算数大于预算数的主要原因是</w:t>
      </w:r>
      <w:r>
        <w:rPr>
          <w:rFonts w:hint="eastAsia" w:ascii="仿宋_GB2312" w:hAnsi="仿宋"/>
          <w:szCs w:val="32"/>
        </w:rPr>
        <w:t>经济科目功能分类进行了调整。</w:t>
      </w:r>
    </w:p>
    <w:p>
      <w:pPr>
        <w:ind w:firstLine="640" w:firstLineChars="200"/>
        <w:rPr>
          <w:rFonts w:hint="eastAsia" w:ascii="仿宋_GB2312" w:hAnsi="仿宋"/>
          <w:szCs w:val="32"/>
        </w:rPr>
      </w:pPr>
      <w:r>
        <w:rPr>
          <w:rFonts w:ascii="仿宋_GB2312" w:hAnsi="仿宋"/>
          <w:szCs w:val="32"/>
        </w:rPr>
        <w:t>15</w:t>
      </w:r>
      <w:r>
        <w:rPr>
          <w:rFonts w:hint="eastAsia" w:ascii="仿宋_GB2312" w:hAnsi="仿宋"/>
          <w:szCs w:val="32"/>
        </w:rPr>
        <w:t>.</w:t>
      </w:r>
      <w:r>
        <w:rPr>
          <w:rFonts w:hint="eastAsia" w:ascii="仿宋_GB2312" w:hAnsi="仿宋"/>
          <w:b/>
          <w:szCs w:val="32"/>
        </w:rPr>
        <w:t>城乡社区支出（类）城乡社区支出（款）其他城乡社区支出（项）</w:t>
      </w:r>
      <w:r>
        <w:rPr>
          <w:rFonts w:hint="eastAsia" w:ascii="仿宋_GB2312" w:hAnsi="仿宋"/>
          <w:b/>
          <w:color w:val="000000"/>
          <w:szCs w:val="32"/>
        </w:rPr>
        <w:t>。</w:t>
      </w:r>
      <w:r>
        <w:rPr>
          <w:rFonts w:hint="eastAsia" w:ascii="仿宋_GB2312" w:hAnsi="仿宋"/>
          <w:szCs w:val="32"/>
        </w:rPr>
        <w:t>年初预算为</w:t>
      </w:r>
      <w:r>
        <w:rPr>
          <w:rFonts w:ascii="仿宋_GB2312" w:hAnsi="仿宋"/>
          <w:szCs w:val="32"/>
        </w:rPr>
        <w:t>149.55</w:t>
      </w:r>
      <w:r>
        <w:rPr>
          <w:rFonts w:hint="eastAsia" w:ascii="仿宋_GB2312" w:hAnsi="仿宋"/>
          <w:szCs w:val="32"/>
        </w:rPr>
        <w:t>万元，支出决算为</w:t>
      </w:r>
      <w:r>
        <w:rPr>
          <w:rFonts w:ascii="仿宋_GB2312" w:hAnsi="仿宋"/>
          <w:szCs w:val="32"/>
        </w:rPr>
        <w:t>211.55</w:t>
      </w:r>
      <w:r>
        <w:rPr>
          <w:rFonts w:hint="eastAsia" w:ascii="仿宋_GB2312" w:hAnsi="仿宋"/>
          <w:szCs w:val="32"/>
        </w:rPr>
        <w:t>万元，完成年初预算的</w:t>
      </w:r>
      <w:r>
        <w:rPr>
          <w:rFonts w:ascii="仿宋_GB2312" w:hAnsi="仿宋"/>
          <w:szCs w:val="32"/>
        </w:rPr>
        <w:t>141.46</w:t>
      </w:r>
      <w:r>
        <w:rPr>
          <w:rFonts w:hint="eastAsia" w:ascii="仿宋_GB2312" w:hAnsi="仿宋"/>
          <w:szCs w:val="32"/>
        </w:rPr>
        <w:t>%，决算数大于预算数的主要原因是</w:t>
      </w:r>
      <w:r>
        <w:rPr>
          <w:rFonts w:hint="eastAsia" w:ascii="仿宋_GB2312" w:hAnsi="仿宋"/>
          <w:szCs w:val="32"/>
        </w:rPr>
        <w:t>经济科目功能分类进行了调整。</w:t>
      </w:r>
    </w:p>
    <w:p>
      <w:pPr>
        <w:ind w:firstLine="640" w:firstLineChars="200"/>
        <w:rPr>
          <w:rFonts w:ascii="仿宋_GB2312" w:hAnsi="仿宋"/>
          <w:szCs w:val="32"/>
        </w:rPr>
      </w:pPr>
      <w:r>
        <w:rPr>
          <w:rFonts w:hint="eastAsia" w:ascii="仿宋_GB2312" w:hAnsi="仿宋"/>
          <w:szCs w:val="32"/>
        </w:rPr>
        <w:t>1</w:t>
      </w:r>
      <w:r>
        <w:rPr>
          <w:rFonts w:ascii="仿宋_GB2312" w:hAnsi="仿宋"/>
          <w:szCs w:val="32"/>
        </w:rPr>
        <w:t>6</w:t>
      </w:r>
      <w:r>
        <w:rPr>
          <w:rFonts w:hint="eastAsia" w:ascii="仿宋_GB2312" w:hAnsi="仿宋"/>
          <w:szCs w:val="32"/>
        </w:rPr>
        <w:t>.</w:t>
      </w:r>
      <w:r>
        <w:rPr>
          <w:rFonts w:hint="eastAsia" w:ascii="仿宋_GB2312" w:hAnsi="仿宋"/>
          <w:b/>
          <w:szCs w:val="32"/>
        </w:rPr>
        <w:t>住房保障支出（类）住房改革支出（款）住房公积金（项）</w:t>
      </w:r>
      <w:r>
        <w:rPr>
          <w:rFonts w:hint="eastAsia" w:ascii="仿宋_GB2312" w:hAnsi="仿宋"/>
          <w:b/>
          <w:color w:val="000000"/>
          <w:szCs w:val="32"/>
        </w:rPr>
        <w:t>。</w:t>
      </w:r>
      <w:r>
        <w:rPr>
          <w:rFonts w:hint="eastAsia" w:ascii="仿宋_GB2312" w:hAnsi="仿宋"/>
          <w:szCs w:val="32"/>
        </w:rPr>
        <w:t>年初预算为</w:t>
      </w:r>
      <w:r>
        <w:rPr>
          <w:rFonts w:ascii="仿宋_GB2312" w:hAnsi="仿宋"/>
          <w:szCs w:val="32"/>
        </w:rPr>
        <w:t>64.98</w:t>
      </w:r>
      <w:r>
        <w:rPr>
          <w:rFonts w:hint="eastAsia" w:ascii="仿宋_GB2312" w:hAnsi="仿宋"/>
          <w:szCs w:val="32"/>
        </w:rPr>
        <w:t>万元，支出决算为63.</w:t>
      </w:r>
      <w:r>
        <w:rPr>
          <w:rFonts w:ascii="仿宋_GB2312" w:hAnsi="仿宋"/>
          <w:szCs w:val="32"/>
        </w:rPr>
        <w:t>38</w:t>
      </w:r>
      <w:r>
        <w:rPr>
          <w:rFonts w:hint="eastAsia" w:ascii="仿宋_GB2312" w:hAnsi="仿宋"/>
          <w:szCs w:val="32"/>
        </w:rPr>
        <w:t>万元，完成年初预算的</w:t>
      </w:r>
      <w:r>
        <w:rPr>
          <w:rFonts w:ascii="仿宋_GB2312" w:hAnsi="仿宋"/>
          <w:szCs w:val="32"/>
        </w:rPr>
        <w:t>97.54</w:t>
      </w:r>
      <w:r>
        <w:rPr>
          <w:rFonts w:hint="eastAsia" w:ascii="仿宋_GB2312" w:hAnsi="仿宋"/>
          <w:szCs w:val="32"/>
        </w:rPr>
        <w:t>%</w:t>
      </w:r>
      <w:r>
        <w:rPr>
          <w:rFonts w:hint="eastAsia" w:ascii="仿宋_GB2312" w:hAnsi="仿宋"/>
          <w:color w:val="000000"/>
          <w:szCs w:val="32"/>
        </w:rPr>
        <w:t>，</w:t>
      </w:r>
      <w:r>
        <w:rPr>
          <w:rFonts w:hint="eastAsia" w:ascii="仿宋_GB2312" w:hAnsi="仿宋"/>
          <w:szCs w:val="32"/>
        </w:rPr>
        <w:t>决算数小于预算数的主要原因是当年在职人员调动，本院人员减少。</w:t>
      </w:r>
    </w:p>
    <w:p>
      <w:pPr>
        <w:ind w:firstLine="640" w:firstLineChars="200"/>
        <w:rPr>
          <w:rFonts w:ascii="仿宋_GB2312" w:hAnsi="仿宋"/>
          <w:szCs w:val="32"/>
        </w:rPr>
      </w:pPr>
      <w:r>
        <w:rPr>
          <w:rFonts w:hint="eastAsia" w:ascii="仿宋_GB2312" w:hAnsi="仿宋"/>
          <w:szCs w:val="32"/>
        </w:rPr>
        <w:t>1</w:t>
      </w:r>
      <w:r>
        <w:rPr>
          <w:rFonts w:ascii="仿宋_GB2312" w:hAnsi="仿宋"/>
          <w:szCs w:val="32"/>
        </w:rPr>
        <w:t>7</w:t>
      </w:r>
      <w:r>
        <w:rPr>
          <w:rFonts w:hint="eastAsia" w:ascii="仿宋_GB2312" w:hAnsi="仿宋"/>
          <w:szCs w:val="32"/>
        </w:rPr>
        <w:t>.</w:t>
      </w:r>
      <w:r>
        <w:rPr>
          <w:rFonts w:hint="eastAsia" w:ascii="仿宋_GB2312" w:hAnsi="仿宋"/>
          <w:b/>
          <w:szCs w:val="32"/>
        </w:rPr>
        <w:t>住房保障支出（类）住房改革支出（款）提租补贴（项）</w:t>
      </w:r>
      <w:r>
        <w:rPr>
          <w:rFonts w:hint="eastAsia" w:ascii="仿宋_GB2312" w:hAnsi="仿宋"/>
          <w:b/>
          <w:color w:val="000000"/>
          <w:szCs w:val="32"/>
        </w:rPr>
        <w:t>。</w:t>
      </w:r>
      <w:r>
        <w:rPr>
          <w:rFonts w:hint="eastAsia" w:ascii="仿宋_GB2312" w:hAnsi="仿宋"/>
          <w:szCs w:val="32"/>
        </w:rPr>
        <w:t>年初预算为</w:t>
      </w:r>
      <w:r>
        <w:rPr>
          <w:rFonts w:ascii="仿宋_GB2312" w:hAnsi="仿宋"/>
          <w:szCs w:val="32"/>
        </w:rPr>
        <w:t>15.48</w:t>
      </w:r>
      <w:r>
        <w:rPr>
          <w:rFonts w:hint="eastAsia" w:ascii="仿宋_GB2312" w:hAnsi="仿宋"/>
          <w:szCs w:val="32"/>
        </w:rPr>
        <w:t>万元，支出决算为</w:t>
      </w:r>
      <w:r>
        <w:rPr>
          <w:rFonts w:ascii="仿宋_GB2312" w:hAnsi="仿宋"/>
          <w:szCs w:val="32"/>
        </w:rPr>
        <w:t>15.48</w:t>
      </w:r>
      <w:r>
        <w:rPr>
          <w:rFonts w:hint="eastAsia" w:ascii="仿宋_GB2312" w:hAnsi="仿宋"/>
          <w:szCs w:val="32"/>
        </w:rPr>
        <w:t>万元，完成年初预算的1</w:t>
      </w:r>
      <w:r>
        <w:rPr>
          <w:rFonts w:ascii="仿宋_GB2312" w:hAnsi="仿宋"/>
          <w:szCs w:val="32"/>
        </w:rPr>
        <w:t>00</w:t>
      </w:r>
      <w:r>
        <w:rPr>
          <w:rFonts w:hint="eastAsia" w:ascii="仿宋_GB2312" w:hAnsi="仿宋"/>
          <w:szCs w:val="32"/>
        </w:rPr>
        <w:t>%。</w:t>
      </w:r>
    </w:p>
    <w:p>
      <w:pPr>
        <w:ind w:firstLine="640" w:firstLineChars="200"/>
        <w:rPr>
          <w:rFonts w:ascii="黑体" w:hAnsi="仿宋" w:eastAsia="黑体"/>
          <w:szCs w:val="32"/>
        </w:rPr>
      </w:pPr>
      <w:r>
        <w:rPr>
          <w:rFonts w:hint="eastAsia" w:ascii="黑体" w:hAnsi="仿宋" w:eastAsia="黑体"/>
          <w:szCs w:val="32"/>
        </w:rPr>
        <w:t>六、一般公共预算财政拨款基本支出决算情况说明</w:t>
      </w:r>
    </w:p>
    <w:p>
      <w:pPr>
        <w:ind w:firstLine="640" w:firstLineChars="200"/>
        <w:rPr>
          <w:rFonts w:ascii="楷体_GB2312" w:hAnsi="仿宋" w:eastAsia="楷体_GB2312"/>
          <w:szCs w:val="32"/>
        </w:rPr>
      </w:pPr>
      <w:r>
        <w:rPr>
          <w:rFonts w:hint="eastAsia" w:ascii="仿宋_GB2312" w:hAnsi="仿宋"/>
          <w:szCs w:val="32"/>
        </w:rPr>
        <w:t>2022年度财政拨款基本支出1059.84万元，其中：人员经费896.54万元，主要包括:基本工资、津贴补贴、奖金、机关事业单位基本养老保险缴费、职业年金缴费、职工基本医疗保险缴费、其他社会保障缴费、住房公积金、其他工资福利支出、退休费、生活补助、医疗费补助、其他对个人和家庭的补助支出等；公用经费163.3万元，主要包括：办公费、印刷费、水费、电费、邮电费、物业管理费、差旅费、维修（护）费、租赁费、培训费、公务接待费、劳务费、委托业务费、工会经费、福利费、公务用车运行维护费、其他交通费用、其他商品和服务支出等。</w:t>
      </w:r>
    </w:p>
    <w:p>
      <w:pPr>
        <w:ind w:firstLine="640" w:firstLineChars="200"/>
        <w:rPr>
          <w:rFonts w:ascii="黑体" w:hAnsi="黑体" w:eastAsia="黑体"/>
          <w:szCs w:val="32"/>
        </w:rPr>
      </w:pPr>
      <w:r>
        <w:rPr>
          <w:rFonts w:hint="eastAsia" w:ascii="黑体" w:hAnsi="仿宋" w:eastAsia="黑体"/>
          <w:szCs w:val="32"/>
        </w:rPr>
        <w:t>七、</w:t>
      </w:r>
      <w:r>
        <w:rPr>
          <w:rFonts w:hint="eastAsia" w:ascii="黑体" w:hAnsi="黑体" w:eastAsia="黑体"/>
          <w:szCs w:val="32"/>
        </w:rPr>
        <w:t>政府性基金预算财政拨款收入支出决算情况说明</w:t>
      </w:r>
    </w:p>
    <w:p>
      <w:pPr>
        <w:ind w:firstLine="640" w:firstLineChars="200"/>
        <w:rPr>
          <w:rFonts w:ascii="楷体_GB2312" w:hAnsi="仿宋" w:eastAsia="楷体_GB2312"/>
          <w:szCs w:val="32"/>
        </w:rPr>
      </w:pPr>
      <w:r>
        <w:rPr>
          <w:rFonts w:hint="eastAsia" w:ascii="仿宋_GB2312" w:hAnsi="仿宋"/>
          <w:szCs w:val="32"/>
        </w:rPr>
        <w:t>博望区人民检察院没有政府性基金预算收入，也没有使用政府性基金预算安排的支出，故本表无数据。</w:t>
      </w:r>
    </w:p>
    <w:p>
      <w:pPr>
        <w:ind w:firstLine="640" w:firstLineChars="200"/>
        <w:rPr>
          <w:rFonts w:ascii="黑体" w:hAnsi="黑体" w:eastAsia="黑体"/>
          <w:szCs w:val="32"/>
        </w:rPr>
      </w:pPr>
      <w:r>
        <w:rPr>
          <w:rFonts w:hint="eastAsia" w:ascii="黑体" w:hAnsi="黑体" w:eastAsia="黑体"/>
          <w:szCs w:val="32"/>
        </w:rPr>
        <w:t>八、国有资本经营预算财政拨款支出情况说明</w:t>
      </w:r>
    </w:p>
    <w:p>
      <w:pPr>
        <w:ind w:firstLine="640" w:firstLineChars="200"/>
        <w:rPr>
          <w:rFonts w:ascii="楷体_GB2312" w:hAnsi="仿宋"/>
          <w:szCs w:val="32"/>
        </w:rPr>
      </w:pPr>
      <w:r>
        <w:rPr>
          <w:rFonts w:hint="eastAsia" w:ascii="仿宋_GB2312" w:hAnsi="仿宋"/>
          <w:szCs w:val="32"/>
        </w:rPr>
        <w:t>博望区人民检察院没有使用国有资本经营预算财政拨款安排的支出，故本表无数据。</w:t>
      </w:r>
    </w:p>
    <w:p>
      <w:pPr>
        <w:adjustRightInd w:val="0"/>
        <w:snapToGrid w:val="0"/>
        <w:spacing w:line="600" w:lineRule="exact"/>
        <w:ind w:firstLine="640" w:firstLineChars="200"/>
        <w:rPr>
          <w:rFonts w:ascii="黑体" w:hAnsi="黑体" w:eastAsia="黑体"/>
          <w:szCs w:val="32"/>
        </w:rPr>
      </w:pPr>
      <w:r>
        <w:rPr>
          <w:rFonts w:hint="eastAsia" w:ascii="黑体" w:hAnsi="黑体" w:eastAsia="黑体"/>
          <w:szCs w:val="32"/>
        </w:rPr>
        <w:t>九、其他重要事项情况说明</w:t>
      </w:r>
    </w:p>
    <w:p>
      <w:pPr>
        <w:adjustRightInd w:val="0"/>
        <w:snapToGrid w:val="0"/>
        <w:spacing w:line="600" w:lineRule="exact"/>
        <w:ind w:firstLine="643" w:firstLineChars="200"/>
        <w:rPr>
          <w:rFonts w:ascii="仿宋_GB2312" w:hAnsi="楷体"/>
          <w:b/>
          <w:szCs w:val="32"/>
        </w:rPr>
      </w:pPr>
      <w:r>
        <w:rPr>
          <w:rFonts w:hint="eastAsia" w:ascii="仿宋_GB2312" w:hAnsi="楷体"/>
          <w:b/>
          <w:szCs w:val="32"/>
        </w:rPr>
        <w:t>（一）机关运行经费支出情况。</w:t>
      </w:r>
    </w:p>
    <w:p>
      <w:pPr>
        <w:adjustRightInd w:val="0"/>
        <w:snapToGrid w:val="0"/>
        <w:spacing w:line="600" w:lineRule="exact"/>
        <w:ind w:firstLine="640" w:firstLineChars="200"/>
        <w:rPr>
          <w:rFonts w:ascii="仿宋_GB2312" w:hAnsi="仿宋"/>
          <w:szCs w:val="32"/>
        </w:rPr>
      </w:pPr>
      <w:r>
        <w:rPr>
          <w:rFonts w:hint="eastAsia" w:ascii="仿宋_GB2312" w:hAnsi="仿宋"/>
          <w:szCs w:val="32"/>
        </w:rPr>
        <w:t>2022年度，马鞍山市博望区人民检察院机关运行经费支出163.3万元，比2021年增加6.8万元，增长4%，主要原因是</w:t>
      </w:r>
      <w:r>
        <w:rPr>
          <w:rFonts w:hint="eastAsia" w:ascii="仿宋_GB2312" w:hAnsi="仿宋"/>
          <w:color w:val="auto"/>
          <w:szCs w:val="32"/>
          <w:lang w:eastAsia="zh-CN"/>
        </w:rPr>
        <w:t>经济科目功能分类调整</w:t>
      </w:r>
      <w:r>
        <w:rPr>
          <w:rFonts w:hint="eastAsia" w:ascii="仿宋_GB2312" w:hAnsi="仿宋"/>
          <w:szCs w:val="32"/>
        </w:rPr>
        <w:t>。</w:t>
      </w:r>
    </w:p>
    <w:p>
      <w:pPr>
        <w:adjustRightInd w:val="0"/>
        <w:snapToGrid w:val="0"/>
        <w:spacing w:line="600" w:lineRule="exact"/>
        <w:ind w:firstLine="643" w:firstLineChars="200"/>
        <w:rPr>
          <w:rFonts w:ascii="仿宋_GB2312" w:hAnsi="楷体"/>
          <w:b/>
          <w:szCs w:val="32"/>
        </w:rPr>
      </w:pPr>
      <w:r>
        <w:rPr>
          <w:rFonts w:hint="eastAsia" w:ascii="仿宋_GB2312" w:hAnsi="楷体"/>
          <w:b/>
          <w:szCs w:val="32"/>
        </w:rPr>
        <w:t>（二）政府采购支出情况。</w:t>
      </w:r>
    </w:p>
    <w:p>
      <w:pPr>
        <w:ind w:firstLine="640" w:firstLineChars="200"/>
        <w:jc w:val="left"/>
        <w:rPr>
          <w:rFonts w:ascii="仿宋_GB2312" w:hAnsi="仿宋"/>
          <w:szCs w:val="32"/>
        </w:rPr>
      </w:pPr>
      <w:r>
        <w:rPr>
          <w:rFonts w:hint="eastAsia" w:ascii="仿宋_GB2312" w:hAnsi="仿宋"/>
          <w:szCs w:val="32"/>
        </w:rPr>
        <w:t>2022年度，马鞍山市博望区人民检察院政府采购支出总额163.31万元，其中：政府采购货物支出0万元、政府采购工程支出163.31万元、政府采购服务支出0万元。授予中小企业合同金额0万元，占政府采购支出总额的0%。</w:t>
      </w:r>
    </w:p>
    <w:p>
      <w:pPr>
        <w:adjustRightInd w:val="0"/>
        <w:snapToGrid w:val="0"/>
        <w:spacing w:line="600" w:lineRule="exact"/>
        <w:ind w:firstLine="643" w:firstLineChars="200"/>
        <w:rPr>
          <w:rFonts w:ascii="仿宋_GB2312" w:hAnsi="楷体"/>
          <w:b/>
          <w:szCs w:val="32"/>
        </w:rPr>
      </w:pPr>
      <w:r>
        <w:rPr>
          <w:rFonts w:hint="eastAsia" w:ascii="仿宋_GB2312" w:hAnsi="楷体"/>
          <w:b/>
          <w:szCs w:val="32"/>
        </w:rPr>
        <w:t>（三）国有资产占有使用情况。</w:t>
      </w:r>
    </w:p>
    <w:p>
      <w:pPr>
        <w:adjustRightInd w:val="0"/>
        <w:snapToGrid w:val="0"/>
        <w:spacing w:line="600" w:lineRule="exact"/>
        <w:ind w:firstLine="640" w:firstLineChars="200"/>
        <w:rPr>
          <w:rFonts w:ascii="仿宋_GB2312" w:hAnsi="仿宋"/>
          <w:szCs w:val="32"/>
        </w:rPr>
      </w:pPr>
      <w:r>
        <w:rPr>
          <w:rFonts w:hint="eastAsia" w:ascii="仿宋_GB2312" w:hAnsi="楷体"/>
          <w:szCs w:val="32"/>
        </w:rPr>
        <w:t>截至2022年12月31日，马鞍山市博望区人民检察院</w:t>
      </w:r>
      <w:r>
        <w:rPr>
          <w:rFonts w:hint="eastAsia" w:ascii="仿宋_GB2312" w:hAnsi="仿宋"/>
          <w:szCs w:val="32"/>
        </w:rPr>
        <w:t>共有车辆5辆，其中：执法执勤用车5辆；单价100万元（含）以上设备（不含车辆）0台（套）。</w:t>
      </w:r>
    </w:p>
    <w:p>
      <w:pPr>
        <w:numPr>
          <w:ilvl w:val="0"/>
          <w:numId w:val="1"/>
        </w:numPr>
        <w:adjustRightInd w:val="0"/>
        <w:snapToGrid w:val="0"/>
        <w:spacing w:line="600" w:lineRule="exact"/>
        <w:ind w:firstLine="643" w:firstLineChars="200"/>
        <w:rPr>
          <w:rFonts w:ascii="仿宋_GB2312" w:hAnsi="楷体"/>
          <w:b/>
          <w:szCs w:val="32"/>
        </w:rPr>
      </w:pPr>
      <w:r>
        <w:rPr>
          <w:rFonts w:hint="eastAsia" w:ascii="仿宋_GB2312" w:hAnsi="楷体"/>
          <w:b/>
          <w:szCs w:val="32"/>
          <w:highlight w:val="none"/>
        </w:rPr>
        <w:t>关于2022年度绩效评价情况的说明</w:t>
      </w:r>
    </w:p>
    <w:p>
      <w:pPr>
        <w:spacing w:line="560" w:lineRule="exact"/>
        <w:ind w:firstLine="643" w:firstLineChars="200"/>
        <w:rPr>
          <w:rFonts w:ascii="仿宋" w:hAnsi="仿宋" w:eastAsia="仿宋" w:cs="仿宋"/>
          <w:szCs w:val="32"/>
        </w:rPr>
      </w:pPr>
      <w:r>
        <w:rPr>
          <w:rFonts w:hint="eastAsia" w:ascii="楷体" w:hAnsi="楷体" w:eastAsia="楷体" w:cs="楷体"/>
          <w:b/>
          <w:bCs/>
          <w:szCs w:val="32"/>
        </w:rPr>
        <w:t>（1）绩效评价工作开展情况。</w:t>
      </w:r>
    </w:p>
    <w:p>
      <w:pPr>
        <w:adjustRightInd w:val="0"/>
        <w:snapToGrid w:val="0"/>
        <w:spacing w:line="600" w:lineRule="exact"/>
        <w:ind w:firstLine="640" w:firstLineChars="200"/>
        <w:rPr>
          <w:rFonts w:hint="eastAsia" w:ascii="仿宋" w:hAnsi="仿宋" w:eastAsia="仿宋" w:cs="仿宋"/>
          <w:sz w:val="32"/>
          <w:szCs w:val="32"/>
        </w:rPr>
      </w:pPr>
      <w:r>
        <w:rPr>
          <w:rFonts w:hint="eastAsia" w:ascii="仿宋_GB2312" w:hAnsi="仿宋_GB2312" w:cs="仿宋_GB2312"/>
          <w:bCs/>
          <w:szCs w:val="32"/>
        </w:rPr>
        <w:t>根据预算绩效管理要求，本部门组织对2022年度纳入部门预算的项目支出全面开展了绩效自评，共</w:t>
      </w:r>
      <w:r>
        <w:rPr>
          <w:rFonts w:hint="eastAsia" w:ascii="仿宋_GB2312" w:hAnsi="仿宋_GB2312" w:cs="仿宋_GB2312"/>
          <w:bCs/>
          <w:szCs w:val="32"/>
          <w:lang w:val="en-US" w:eastAsia="zh-CN"/>
        </w:rPr>
        <w:t>5</w:t>
      </w:r>
      <w:r>
        <w:rPr>
          <w:rFonts w:hint="eastAsia" w:ascii="仿宋_GB2312" w:hAnsi="仿宋_GB2312" w:cs="仿宋_GB2312"/>
          <w:bCs/>
          <w:szCs w:val="32"/>
        </w:rPr>
        <w:t>个项目，涉及资金</w:t>
      </w:r>
      <w:r>
        <w:rPr>
          <w:rFonts w:hint="eastAsia" w:ascii="仿宋_GB2312" w:hAnsi="仿宋_GB2312" w:cs="仿宋_GB2312"/>
          <w:bCs/>
          <w:szCs w:val="32"/>
          <w:lang w:val="en-US" w:eastAsia="zh-CN"/>
        </w:rPr>
        <w:t>473.18</w:t>
      </w:r>
      <w:r>
        <w:rPr>
          <w:rFonts w:hint="eastAsia" w:ascii="仿宋_GB2312" w:hAnsi="仿宋_GB2312" w:cs="仿宋_GB2312"/>
          <w:bCs/>
          <w:szCs w:val="32"/>
        </w:rPr>
        <w:t>万元</w:t>
      </w:r>
      <w:r>
        <w:rPr>
          <w:rFonts w:hint="eastAsia" w:ascii="仿宋" w:hAnsi="仿宋" w:eastAsia="仿宋" w:cs="仿宋"/>
          <w:szCs w:val="32"/>
        </w:rPr>
        <w:t>。</w:t>
      </w:r>
      <w:r>
        <w:rPr>
          <w:rFonts w:hint="eastAsia" w:ascii="仿宋" w:hAnsi="仿宋" w:eastAsia="仿宋" w:cs="仿宋"/>
          <w:sz w:val="32"/>
          <w:szCs w:val="32"/>
        </w:rPr>
        <w:t>从评价情况看，</w:t>
      </w:r>
      <w:r>
        <w:rPr>
          <w:rFonts w:hint="eastAsia" w:ascii="仿宋_GB2312" w:hAnsi="仿宋"/>
          <w:color w:val="auto"/>
          <w:szCs w:val="32"/>
          <w:lang w:eastAsia="zh-CN"/>
        </w:rPr>
        <w:t>项目立项依据充分，绩效目标设置明确、合理，项目资金到位及时，项目产出符合预期，取得了预期的生态效益、社会效益、群众满意度较高，总体上达到了预期绩效目标。</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cs="仿宋_GB2312"/>
          <w:bCs/>
          <w:szCs w:val="32"/>
        </w:rPr>
      </w:pPr>
      <w:r>
        <w:rPr>
          <w:rFonts w:hint="eastAsia" w:ascii="仿宋_GB2312" w:hAnsi="仿宋_GB2312" w:cs="仿宋_GB2312"/>
          <w:bCs/>
          <w:szCs w:val="32"/>
        </w:rPr>
        <w:t>组织对2022年度部门整体支出开展了绩效自评。评价结果显示，</w:t>
      </w:r>
      <w:r>
        <w:rPr>
          <w:rFonts w:hint="eastAsia" w:ascii="仿宋_GB2312" w:hAnsi="仿宋_GB2312" w:cs="仿宋_GB2312"/>
          <w:bCs/>
          <w:szCs w:val="32"/>
          <w:lang w:val="en-US" w:eastAsia="zh-CN"/>
        </w:rPr>
        <w:t>本部门对预算绩效管理工作非常重视，预算资金在产出、 效益和满意度绩效指标方面均取得较好的执行效果，“三公”经 费得到有效控制，项目支出管理规范性整体较好。</w:t>
      </w:r>
    </w:p>
    <w:p>
      <w:pPr>
        <w:adjustRightInd w:val="0"/>
        <w:snapToGrid w:val="0"/>
        <w:spacing w:line="600" w:lineRule="exact"/>
        <w:ind w:firstLine="640" w:firstLineChars="200"/>
        <w:rPr>
          <w:rFonts w:ascii="仿宋" w:hAnsi="仿宋" w:eastAsia="仿宋" w:cs="仿宋"/>
          <w:szCs w:val="32"/>
        </w:rPr>
      </w:pPr>
      <w:r>
        <w:rPr>
          <w:rFonts w:hint="eastAsia" w:ascii="仿宋_GB2312" w:hAnsi="仿宋_GB2312" w:cs="仿宋_GB2312"/>
          <w:bCs/>
          <w:szCs w:val="32"/>
        </w:rPr>
        <w:t>组织对</w:t>
      </w:r>
      <w:r>
        <w:rPr>
          <w:rFonts w:hint="eastAsia" w:ascii="仿宋_GB2312" w:hAnsi="仿宋_GB2312" w:cs="仿宋_GB2312"/>
          <w:bCs/>
          <w:szCs w:val="32"/>
          <w:lang w:eastAsia="zh-CN"/>
        </w:rPr>
        <w:t>“</w:t>
      </w:r>
      <w:r>
        <w:rPr>
          <w:rFonts w:hint="eastAsia" w:ascii="仿宋_GB2312" w:hAnsi="仿宋_GB2312" w:cs="仿宋_GB2312"/>
          <w:bCs/>
          <w:szCs w:val="32"/>
        </w:rPr>
        <w:t>博望区检察院两房基建</w:t>
      </w:r>
      <w:r>
        <w:rPr>
          <w:rFonts w:hint="eastAsia" w:ascii="仿宋_GB2312" w:hAnsi="仿宋_GB2312" w:cs="仿宋_GB2312"/>
          <w:bCs/>
          <w:szCs w:val="32"/>
          <w:lang w:eastAsia="zh-CN"/>
        </w:rPr>
        <w:t>”</w:t>
      </w:r>
      <w:r>
        <w:rPr>
          <w:rFonts w:hint="eastAsia" w:ascii="仿宋_GB2312" w:hAnsi="仿宋_GB2312" w:cs="仿宋_GB2312"/>
          <w:bCs/>
          <w:szCs w:val="32"/>
        </w:rPr>
        <w:t>项目开展了部门评价，共涉及资金</w:t>
      </w:r>
      <w:r>
        <w:rPr>
          <w:rFonts w:hint="eastAsia" w:ascii="仿宋_GB2312" w:hAnsi="仿宋_GB2312" w:cs="仿宋_GB2312"/>
          <w:bCs/>
          <w:szCs w:val="32"/>
          <w:lang w:val="en-US" w:eastAsia="zh-CN"/>
        </w:rPr>
        <w:t>450</w:t>
      </w:r>
      <w:r>
        <w:rPr>
          <w:rFonts w:hint="eastAsia" w:ascii="仿宋_GB2312" w:hAnsi="仿宋_GB2312" w:cs="仿宋_GB2312"/>
          <w:bCs/>
          <w:szCs w:val="32"/>
        </w:rPr>
        <w:t>万元。</w:t>
      </w:r>
      <w:r>
        <w:rPr>
          <w:rFonts w:hint="eastAsia" w:ascii="仿宋" w:hAnsi="仿宋" w:eastAsia="仿宋" w:cs="仿宋"/>
          <w:sz w:val="32"/>
          <w:szCs w:val="32"/>
        </w:rPr>
        <w:t>以上由我部门自行组织开展绩效评价。从评价情况看，</w:t>
      </w:r>
      <w:r>
        <w:rPr>
          <w:rFonts w:hint="eastAsia" w:ascii="仿宋_GB2312" w:hAnsi="仿宋"/>
          <w:color w:val="auto"/>
          <w:szCs w:val="32"/>
          <w:lang w:eastAsia="zh-CN"/>
        </w:rPr>
        <w:t>项目立项依据充分，绩效目标设置明确、合理，项目资金到位及时，项目产出符合预期，取得了预期的生态效益、社会效益、群众满意度较高，总体上达到了预期绩效目标。</w:t>
      </w:r>
    </w:p>
    <w:p>
      <w:pPr>
        <w:spacing w:line="560" w:lineRule="exact"/>
        <w:ind w:firstLine="640" w:firstLineChars="200"/>
        <w:rPr>
          <w:rFonts w:hint="eastAsia" w:ascii="仿宋" w:hAnsi="仿宋" w:eastAsia="仿宋_GB2312" w:cs="仿宋"/>
          <w:szCs w:val="32"/>
          <w:lang w:eastAsia="zh-CN"/>
        </w:rPr>
      </w:pPr>
      <w:r>
        <w:rPr>
          <w:rFonts w:hint="eastAsia" w:ascii="仿宋_GB2312" w:hAnsi="仿宋_GB2312" w:cs="仿宋_GB2312"/>
          <w:bCs/>
          <w:szCs w:val="32"/>
          <w:lang w:eastAsia="zh-CN"/>
        </w:rPr>
        <w:t>我单位为部门，没有所属二级单位，为开展</w:t>
      </w:r>
      <w:r>
        <w:rPr>
          <w:rFonts w:hint="eastAsia" w:ascii="仿宋_GB2312" w:hAnsi="仿宋_GB2312" w:cs="仿宋_GB2312"/>
          <w:bCs/>
          <w:szCs w:val="32"/>
        </w:rPr>
        <w:t>单位整体支出部门评价</w:t>
      </w:r>
      <w:r>
        <w:rPr>
          <w:rFonts w:hint="eastAsia" w:ascii="仿宋_GB2312" w:hAnsi="仿宋_GB2312" w:cs="仿宋_GB2312"/>
          <w:bCs/>
          <w:szCs w:val="32"/>
          <w:lang w:eastAsia="zh-CN"/>
        </w:rPr>
        <w:t>。</w:t>
      </w:r>
    </w:p>
    <w:p>
      <w:pPr>
        <w:spacing w:line="560" w:lineRule="exact"/>
        <w:ind w:firstLine="643" w:firstLineChars="200"/>
        <w:rPr>
          <w:rFonts w:ascii="仿宋" w:hAnsi="仿宋" w:eastAsia="楷体_GB2312" w:cs="仿宋"/>
          <w:bCs/>
          <w:szCs w:val="32"/>
        </w:rPr>
      </w:pPr>
      <w:r>
        <w:rPr>
          <w:rFonts w:hint="eastAsia" w:ascii="楷体" w:hAnsi="楷体" w:eastAsia="楷体" w:cs="楷体"/>
          <w:b/>
          <w:bCs/>
          <w:szCs w:val="32"/>
        </w:rPr>
        <w:t>（2）部门决算中项目绩效自评结果。</w:t>
      </w:r>
    </w:p>
    <w:p>
      <w:pPr>
        <w:spacing w:line="560" w:lineRule="exact"/>
        <w:ind w:firstLine="640" w:firstLineChars="200"/>
        <w:rPr>
          <w:rFonts w:ascii="仿宋_GB2312" w:hAnsi="仿宋_GB2312" w:cs="仿宋_GB2312"/>
          <w:bCs/>
          <w:szCs w:val="32"/>
        </w:rPr>
      </w:pPr>
      <w:r>
        <w:rPr>
          <w:rFonts w:hint="eastAsia" w:ascii="仿宋_GB2312" w:hAnsi="仿宋_GB2312" w:cs="仿宋_GB2312"/>
          <w:bCs/>
          <w:szCs w:val="32"/>
        </w:rPr>
        <w:t>我</w:t>
      </w:r>
      <w:r>
        <w:rPr>
          <w:rFonts w:hint="eastAsia" w:ascii="仿宋_GB2312" w:hAnsi="仿宋_GB2312" w:cs="仿宋_GB2312"/>
          <w:bCs/>
          <w:szCs w:val="32"/>
          <w:lang w:eastAsia="zh-CN"/>
        </w:rPr>
        <w:t>院</w:t>
      </w:r>
      <w:r>
        <w:rPr>
          <w:rFonts w:hint="eastAsia" w:ascii="仿宋_GB2312" w:hAnsi="仿宋_GB2312" w:cs="仿宋_GB2312"/>
          <w:bCs/>
          <w:szCs w:val="32"/>
        </w:rPr>
        <w:t>在2022年度部门决算中反映“博望区检察院两房基建项目支出”项目绩效自评综述和所有项目支出绩效自评表。</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cs="仿宋_GB2312"/>
          <w:bCs/>
          <w:szCs w:val="32"/>
          <w:lang w:val="en-US" w:eastAsia="zh-CN"/>
        </w:rPr>
      </w:pPr>
      <w:r>
        <w:rPr>
          <w:rFonts w:hint="eastAsia" w:ascii="仿宋_GB2312" w:hAnsi="仿宋_GB2312" w:cs="仿宋_GB2312"/>
          <w:bCs/>
          <w:szCs w:val="32"/>
        </w:rPr>
        <w:t>博望区检察院两房基建项目支出项目绩效自评综述：根据年初设定的绩效目标，项目绩效自评得分为</w:t>
      </w:r>
      <w:r>
        <w:rPr>
          <w:rFonts w:hint="eastAsia" w:ascii="仿宋_GB2312" w:hAnsi="仿宋_GB2312" w:cs="仿宋_GB2312"/>
          <w:bCs/>
          <w:szCs w:val="32"/>
          <w:lang w:val="en-US" w:eastAsia="zh-CN"/>
        </w:rPr>
        <w:t>92.57</w:t>
      </w:r>
      <w:r>
        <w:rPr>
          <w:rFonts w:hint="eastAsia" w:ascii="仿宋_GB2312" w:hAnsi="仿宋_GB2312" w:cs="仿宋_GB2312"/>
          <w:bCs/>
          <w:szCs w:val="32"/>
        </w:rPr>
        <w:t>分。全年预算数为</w:t>
      </w:r>
      <w:r>
        <w:rPr>
          <w:rFonts w:hint="eastAsia" w:ascii="仿宋_GB2312" w:hAnsi="仿宋_GB2312" w:cs="仿宋_GB2312"/>
          <w:bCs/>
          <w:szCs w:val="32"/>
          <w:lang w:val="en-US" w:eastAsia="zh-CN"/>
        </w:rPr>
        <w:t>450</w:t>
      </w:r>
      <w:r>
        <w:rPr>
          <w:rFonts w:hint="eastAsia" w:ascii="仿宋_GB2312" w:hAnsi="仿宋_GB2312" w:cs="仿宋_GB2312"/>
          <w:bCs/>
          <w:szCs w:val="32"/>
        </w:rPr>
        <w:t>万元，执行数为</w:t>
      </w:r>
      <w:r>
        <w:rPr>
          <w:rFonts w:hint="eastAsia" w:ascii="仿宋_GB2312" w:hAnsi="仿宋_GB2312" w:cs="仿宋_GB2312"/>
          <w:bCs/>
          <w:szCs w:val="32"/>
          <w:lang w:val="en-US" w:eastAsia="zh-CN"/>
        </w:rPr>
        <w:t>115.76</w:t>
      </w:r>
      <w:r>
        <w:rPr>
          <w:rFonts w:hint="eastAsia" w:ascii="仿宋_GB2312" w:hAnsi="仿宋_GB2312" w:cs="仿宋_GB2312"/>
          <w:bCs/>
          <w:szCs w:val="32"/>
        </w:rPr>
        <w:t>万元，完成预算的</w:t>
      </w:r>
      <w:r>
        <w:rPr>
          <w:rFonts w:hint="eastAsia" w:ascii="仿宋_GB2312" w:hAnsi="仿宋_GB2312" w:cs="仿宋_GB2312"/>
          <w:bCs/>
          <w:szCs w:val="32"/>
          <w:lang w:val="en-US" w:eastAsia="zh-CN"/>
        </w:rPr>
        <w:t>25.72</w:t>
      </w:r>
      <w:r>
        <w:rPr>
          <w:rFonts w:hint="eastAsia" w:ascii="仿宋_GB2312" w:hAnsi="仿宋_GB2312" w:cs="仿宋_GB2312"/>
          <w:bCs/>
          <w:szCs w:val="32"/>
        </w:rPr>
        <w:t>%。项目绩效目标完成情况：</w:t>
      </w:r>
      <w:r>
        <w:rPr>
          <w:rFonts w:hint="eastAsia" w:ascii="仿宋_GB2312" w:hAnsi="仿宋_GB2312" w:cs="仿宋_GB2312"/>
          <w:bCs/>
          <w:szCs w:val="32"/>
          <w:lang w:val="en-US" w:eastAsia="zh-CN"/>
        </w:rPr>
        <w:t>预算编制科学，管理执行到位，预算资金在产出、效益和满 意度绩效指标方面均取得较好的执行效果，各项经费得到了有效 控制，项目支出管理规范性整体较好。</w:t>
      </w:r>
      <w:r>
        <w:rPr>
          <w:rFonts w:hint="eastAsia" w:ascii="仿宋_GB2312" w:hAnsi="仿宋_GB2312" w:cs="仿宋_GB2312"/>
          <w:bCs/>
          <w:szCs w:val="32"/>
        </w:rPr>
        <w:t>发现的主要问题及原因：</w:t>
      </w:r>
      <w:r>
        <w:rPr>
          <w:rFonts w:hint="eastAsia" w:ascii="仿宋_GB2312" w:hAnsi="仿宋_GB2312" w:cs="仿宋_GB2312"/>
          <w:bCs/>
          <w:szCs w:val="32"/>
          <w:lang w:val="en-US" w:eastAsia="zh-CN"/>
        </w:rPr>
        <w:t>在本次项目支出绩效自评中发现，由于受疫情防控等因素影响，我院基建项目审计暂未完成，未完全按序时进度支出，年初预算编制存在不够精细等情况，在一定程度上影响了预算执行效果。</w:t>
      </w:r>
      <w:r>
        <w:rPr>
          <w:rFonts w:hint="eastAsia" w:ascii="仿宋_GB2312" w:hAnsi="仿宋_GB2312" w:cs="仿宋_GB2312"/>
          <w:bCs/>
          <w:szCs w:val="32"/>
        </w:rPr>
        <w:t>下一步改进措施：</w:t>
      </w:r>
      <w:r>
        <w:rPr>
          <w:rFonts w:hint="eastAsia" w:ascii="仿宋_GB2312" w:hAnsi="仿宋_GB2312" w:cs="仿宋_GB2312"/>
          <w:bCs/>
          <w:szCs w:val="32"/>
          <w:lang w:val="en-US" w:eastAsia="zh-CN"/>
        </w:rPr>
        <w:t>结合预算绩效目标和此次绩效自评结果，合理调节预算，提高资金使用效率。加强预算管理，科学做好项目论证，对项目执行中存在的变动提前做好预案，防止预算执行过程中出现偏差。</w:t>
      </w:r>
    </w:p>
    <w:p>
      <w:pPr>
        <w:keepNext w:val="0"/>
        <w:keepLines w:val="0"/>
        <w:widowControl/>
        <w:suppressLineNumbers w:val="0"/>
        <w:jc w:val="left"/>
        <w:rPr>
          <w:rFonts w:ascii="仿宋_GB2312" w:hAnsi="仿宋_GB2312" w:cs="仿宋_GB2312"/>
          <w:bCs/>
          <w:szCs w:val="32"/>
        </w:rPr>
      </w:pPr>
    </w:p>
    <w:p>
      <w:pPr>
        <w:spacing w:line="560" w:lineRule="exact"/>
        <w:ind w:firstLine="640" w:firstLineChars="200"/>
        <w:rPr>
          <w:rFonts w:ascii="仿宋_GB2312" w:hAnsi="仿宋_GB2312" w:cs="仿宋_GB2312"/>
          <w:bCs/>
          <w:szCs w:val="32"/>
        </w:rPr>
      </w:pPr>
      <w:r>
        <w:rPr>
          <w:rFonts w:hint="eastAsia" w:ascii="仿宋_GB2312" w:hAnsi="仿宋_GB2312" w:cs="仿宋_GB2312"/>
          <w:bCs/>
          <w:szCs w:val="32"/>
        </w:rPr>
        <w:t>两房基建项目支出项目的《项目支出绩效自评表》。</w:t>
      </w:r>
    </w:p>
    <w:p>
      <w:pPr>
        <w:pStyle w:val="2"/>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object>
          <v:shape id="_x0000_i1026" o:spt="75" type="#_x0000_t75" style="height:440.2pt;width:415.1pt;" o:ole="t" filled="f" o:preferrelative="t" stroked="f" coordsize="21600,21600">
            <v:path/>
            <v:fill on="f" focussize="0,0"/>
            <v:stroke on="f"/>
            <v:imagedata r:id="rId5" o:title=""/>
            <o:lock v:ext="edit" aspectratio="f"/>
            <w10:wrap type="none"/>
            <w10:anchorlock/>
          </v:shape>
          <o:OLEObject Type="Embed" ProgID="Excel.Sheet.12" ShapeID="_x0000_i1026" DrawAspect="Content" ObjectID="_1468075725" r:id="rId4">
            <o:LockedField>false</o:LockedField>
          </o:OLEObject>
        </w:object>
      </w:r>
      <w:r>
        <w:rPr>
          <w:rFonts w:hint="eastAsia" w:ascii="仿宋_GB2312" w:hAnsi="仿宋_GB2312" w:eastAsia="仿宋_GB2312" w:cs="仿宋_GB2312"/>
          <w:bCs/>
          <w:sz w:val="32"/>
          <w:szCs w:val="32"/>
        </w:rPr>
        <w:t xml:space="preserve">  </w:t>
      </w:r>
    </w:p>
    <w:p>
      <w:pPr>
        <w:pStyle w:val="2"/>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所有项目绩效自评表详见“附件：2022年度项目支出绩效自评表及部门评价报告”。</w:t>
      </w:r>
    </w:p>
    <w:p>
      <w:pPr>
        <w:spacing w:line="560" w:lineRule="exact"/>
        <w:rPr>
          <w:rFonts w:ascii="楷体_GB2312" w:hAnsi="仿宋" w:eastAsia="楷体_GB2312"/>
          <w:szCs w:val="32"/>
        </w:rPr>
      </w:pPr>
      <w:r>
        <w:rPr>
          <w:rFonts w:hint="eastAsia" w:ascii="楷体" w:hAnsi="楷体" w:eastAsia="楷体" w:cs="楷体"/>
          <w:b/>
          <w:bCs/>
          <w:szCs w:val="32"/>
        </w:rPr>
        <w:t xml:space="preserve">    （3）部门评价结果。</w:t>
      </w:r>
    </w:p>
    <w:p>
      <w:pPr>
        <w:adjustRightInd w:val="0"/>
        <w:snapToGrid w:val="0"/>
        <w:spacing w:line="600" w:lineRule="exact"/>
        <w:ind w:firstLine="640" w:firstLineChars="200"/>
        <w:rPr>
          <w:rFonts w:ascii="楷体" w:hAnsi="楷体" w:eastAsia="楷体" w:cs="楷体"/>
          <w:szCs w:val="32"/>
        </w:rPr>
      </w:pPr>
      <w:r>
        <w:rPr>
          <w:rFonts w:hint="eastAsia" w:ascii="仿宋_GB2312" w:hAnsi="仿宋_GB2312" w:cs="仿宋_GB2312"/>
          <w:szCs w:val="32"/>
        </w:rPr>
        <w:t>《2022年度</w:t>
      </w:r>
      <w:r>
        <w:rPr>
          <w:rFonts w:hint="eastAsia" w:ascii="仿宋_GB2312" w:hAnsi="仿宋_GB2312" w:cs="仿宋_GB2312"/>
          <w:bCs/>
          <w:szCs w:val="32"/>
        </w:rPr>
        <w:t>博望区检察院两房基建</w:t>
      </w:r>
      <w:r>
        <w:rPr>
          <w:rFonts w:hint="eastAsia" w:ascii="仿宋_GB2312" w:hAnsi="仿宋_GB2312" w:cs="仿宋_GB2312"/>
          <w:szCs w:val="32"/>
        </w:rPr>
        <w:t>项目绩效评价报告》</w:t>
      </w:r>
      <w:r>
        <w:rPr>
          <w:rFonts w:hint="eastAsia" w:ascii="仿宋_GB2312" w:hAnsi="仿宋_GB2312" w:cs="仿宋_GB2312"/>
          <w:bCs/>
          <w:szCs w:val="32"/>
        </w:rPr>
        <w:t>详见“附件：2022年度项目支出绩效自评表及部门评价报告”。</w:t>
      </w:r>
    </w:p>
    <w:p>
      <w:pPr>
        <w:adjustRightInd w:val="0"/>
        <w:snapToGrid w:val="0"/>
        <w:spacing w:line="600" w:lineRule="exact"/>
        <w:ind w:firstLine="640" w:firstLineChars="200"/>
        <w:rPr>
          <w:rFonts w:ascii="黑体" w:hAnsi="黑体" w:eastAsia="黑体"/>
          <w:szCs w:val="32"/>
        </w:rPr>
      </w:pPr>
      <w:r>
        <w:rPr>
          <w:rFonts w:hint="eastAsia" w:ascii="黑体" w:hAnsi="黑体" w:eastAsia="黑体"/>
          <w:szCs w:val="32"/>
        </w:rPr>
        <w:t>第四部分 名词解释</w:t>
      </w:r>
    </w:p>
    <w:p>
      <w:pPr>
        <w:adjustRightInd w:val="0"/>
        <w:snapToGrid w:val="0"/>
        <w:spacing w:line="600" w:lineRule="exact"/>
        <w:rPr>
          <w:rFonts w:ascii="仿宋_GB2312" w:hAnsi="仿宋"/>
          <w:szCs w:val="32"/>
        </w:rPr>
      </w:pPr>
      <w:r>
        <w:rPr>
          <w:rFonts w:hint="eastAsia" w:ascii="仿宋_GB2312" w:hAnsi="仿宋"/>
          <w:b/>
          <w:szCs w:val="32"/>
        </w:rPr>
        <w:t xml:space="preserve">    一、财政拨款收入：</w:t>
      </w:r>
      <w:r>
        <w:rPr>
          <w:rFonts w:hint="eastAsia" w:ascii="仿宋_GB2312" w:hAnsi="仿宋"/>
          <w:szCs w:val="32"/>
        </w:rPr>
        <w:t>指单位从同级财政部门取得的财政预算资金。</w:t>
      </w:r>
    </w:p>
    <w:p>
      <w:pPr>
        <w:adjustRightInd w:val="0"/>
        <w:snapToGrid w:val="0"/>
        <w:spacing w:line="600" w:lineRule="exact"/>
        <w:rPr>
          <w:rFonts w:ascii="仿宋_GB2312" w:hAnsi="黑体"/>
          <w:bCs/>
          <w:szCs w:val="32"/>
        </w:rPr>
      </w:pPr>
      <w:r>
        <w:rPr>
          <w:rFonts w:hint="eastAsia" w:ascii="仿宋_GB2312" w:hAnsi="黑体"/>
          <w:b/>
          <w:bCs/>
          <w:szCs w:val="32"/>
        </w:rPr>
        <w:t xml:space="preserve">   </w:t>
      </w:r>
      <w:r>
        <w:rPr>
          <w:rFonts w:hint="eastAsia" w:ascii="仿宋_GB2312" w:hAnsi="黑体"/>
          <w:b/>
          <w:szCs w:val="32"/>
        </w:rPr>
        <w:t xml:space="preserve"> </w:t>
      </w:r>
      <w:r>
        <w:rPr>
          <w:rFonts w:hint="eastAsia" w:ascii="仿宋_GB2312" w:hAnsi="黑体"/>
          <w:b/>
          <w:szCs w:val="32"/>
          <w:lang w:eastAsia="zh-CN"/>
        </w:rPr>
        <w:t>二</w:t>
      </w:r>
      <w:r>
        <w:rPr>
          <w:rFonts w:hint="eastAsia" w:ascii="仿宋_GB2312" w:hAnsi="黑体"/>
          <w:b/>
          <w:szCs w:val="32"/>
        </w:rPr>
        <w:t>、</w:t>
      </w:r>
      <w:r>
        <w:rPr>
          <w:rFonts w:hint="eastAsia" w:ascii="仿宋_GB2312" w:hAnsi="黑体"/>
          <w:b/>
          <w:bCs/>
          <w:szCs w:val="32"/>
        </w:rPr>
        <w:t>其他收入：</w:t>
      </w:r>
      <w:r>
        <w:rPr>
          <w:rFonts w:hint="eastAsia" w:ascii="仿宋_GB2312" w:hAnsi="黑体"/>
          <w:bCs/>
          <w:szCs w:val="32"/>
        </w:rPr>
        <w:t>指除财政拨款收入、事业收入、上级补助收入、附属单位上缴收入、经营收入以外的各项收</w:t>
      </w:r>
      <w:r>
        <w:rPr>
          <w:rFonts w:hint="eastAsia" w:ascii="仿宋_GB2312" w:hAnsi="仿宋"/>
          <w:szCs w:val="32"/>
        </w:rPr>
        <w:t>入。</w:t>
      </w:r>
    </w:p>
    <w:p>
      <w:pPr>
        <w:pStyle w:val="3"/>
        <w:adjustRightInd w:val="0"/>
        <w:snapToGrid w:val="0"/>
        <w:spacing w:before="0" w:beforeAutospacing="0" w:after="0" w:afterAutospacing="0" w:line="600" w:lineRule="exact"/>
        <w:ind w:firstLine="630" w:firstLineChars="196"/>
        <w:rPr>
          <w:rFonts w:ascii="仿宋_GB2312" w:hAnsi="黑体" w:eastAsia="仿宋_GB2312"/>
          <w:bCs/>
          <w:sz w:val="32"/>
          <w:szCs w:val="32"/>
        </w:rPr>
      </w:pPr>
      <w:r>
        <w:rPr>
          <w:rFonts w:hint="eastAsia" w:ascii="仿宋_GB2312" w:hAnsi="黑体" w:eastAsia="仿宋_GB2312"/>
          <w:b/>
          <w:bCs/>
          <w:sz w:val="32"/>
          <w:szCs w:val="32"/>
          <w:lang w:eastAsia="zh-CN"/>
        </w:rPr>
        <w:t>三</w:t>
      </w:r>
      <w:r>
        <w:rPr>
          <w:rFonts w:hint="eastAsia" w:ascii="仿宋_GB2312" w:hAnsi="黑体" w:eastAsia="仿宋_GB2312"/>
          <w:b/>
          <w:bCs/>
          <w:sz w:val="32"/>
          <w:szCs w:val="32"/>
        </w:rPr>
        <w:t>、年初结转和结余：</w:t>
      </w:r>
      <w:r>
        <w:rPr>
          <w:rFonts w:hint="eastAsia" w:ascii="仿宋_GB2312" w:hAnsi="黑体" w:eastAsia="仿宋_GB2312"/>
          <w:bCs/>
          <w:sz w:val="32"/>
          <w:szCs w:val="32"/>
        </w:rPr>
        <w:t>指以前年度安排、结转到本年仍按原规定用途继续使用的资金。</w:t>
      </w:r>
    </w:p>
    <w:p>
      <w:pPr>
        <w:pStyle w:val="3"/>
        <w:adjustRightInd w:val="0"/>
        <w:snapToGrid w:val="0"/>
        <w:spacing w:before="0" w:beforeAutospacing="0" w:after="0" w:afterAutospacing="0" w:line="600" w:lineRule="exact"/>
        <w:ind w:firstLine="630" w:firstLineChars="196"/>
        <w:rPr>
          <w:rFonts w:ascii="仿宋_GB2312" w:hAnsi="黑体" w:eastAsia="仿宋_GB2312"/>
          <w:b/>
          <w:sz w:val="32"/>
          <w:szCs w:val="32"/>
        </w:rPr>
      </w:pPr>
      <w:r>
        <w:rPr>
          <w:rFonts w:hint="eastAsia" w:ascii="仿宋_GB2312" w:hAnsi="黑体" w:eastAsia="仿宋_GB2312"/>
          <w:b/>
          <w:bCs/>
          <w:sz w:val="32"/>
          <w:szCs w:val="32"/>
          <w:lang w:eastAsia="zh-CN"/>
        </w:rPr>
        <w:t>四</w:t>
      </w:r>
      <w:r>
        <w:rPr>
          <w:rFonts w:hint="eastAsia" w:ascii="仿宋_GB2312" w:hAnsi="黑体" w:eastAsia="仿宋_GB2312"/>
          <w:b/>
          <w:bCs/>
          <w:sz w:val="32"/>
          <w:szCs w:val="32"/>
        </w:rPr>
        <w:t>、年末结转和结余：</w:t>
      </w:r>
      <w:r>
        <w:rPr>
          <w:rFonts w:hint="eastAsia" w:ascii="仿宋_GB2312" w:hAnsi="黑体" w:eastAsia="仿宋_GB2312"/>
          <w:bCs/>
          <w:sz w:val="32"/>
          <w:szCs w:val="32"/>
        </w:rPr>
        <w:t>指单位本年度或以前年度预算安排、因客观条件发生变化未全部执行或未执行，结转到以后年度继续使用的资金，或项目已经完成等产生的结余资金。</w:t>
      </w:r>
    </w:p>
    <w:p>
      <w:pPr>
        <w:pStyle w:val="3"/>
        <w:adjustRightInd w:val="0"/>
        <w:snapToGrid w:val="0"/>
        <w:spacing w:before="0" w:beforeAutospacing="0" w:after="0" w:afterAutospacing="0" w:line="600" w:lineRule="exact"/>
        <w:ind w:firstLine="630" w:firstLineChars="196"/>
        <w:rPr>
          <w:rFonts w:ascii="仿宋_GB2312" w:hAnsi="黑体" w:eastAsia="仿宋_GB2312"/>
          <w:sz w:val="32"/>
          <w:szCs w:val="32"/>
        </w:rPr>
      </w:pPr>
      <w:r>
        <w:rPr>
          <w:rFonts w:hint="eastAsia" w:ascii="仿宋_GB2312" w:hAnsi="黑体" w:eastAsia="仿宋_GB2312"/>
          <w:b/>
          <w:sz w:val="32"/>
          <w:szCs w:val="32"/>
          <w:lang w:eastAsia="zh-CN"/>
        </w:rPr>
        <w:t>五</w:t>
      </w:r>
      <w:r>
        <w:rPr>
          <w:rFonts w:hint="eastAsia" w:ascii="仿宋_GB2312" w:hAnsi="黑体" w:eastAsia="仿宋_GB2312"/>
          <w:b/>
          <w:sz w:val="32"/>
          <w:szCs w:val="32"/>
        </w:rPr>
        <w:t>、基本支出：</w:t>
      </w:r>
      <w:r>
        <w:rPr>
          <w:rFonts w:hint="eastAsia" w:ascii="仿宋_GB2312" w:hAnsi="黑体" w:eastAsia="仿宋_GB2312"/>
          <w:sz w:val="32"/>
          <w:szCs w:val="32"/>
        </w:rPr>
        <w:t>指单位为保障其机构正常运转、完成日常工作任务而发生的人员支出和公用支出。</w:t>
      </w:r>
    </w:p>
    <w:p>
      <w:pPr>
        <w:pStyle w:val="3"/>
        <w:spacing w:before="0" w:beforeAutospacing="0" w:after="0" w:afterAutospacing="0" w:line="600" w:lineRule="exact"/>
        <w:ind w:firstLine="630" w:firstLineChars="196"/>
        <w:jc w:val="both"/>
        <w:rPr>
          <w:rFonts w:ascii="仿宋_GB2312" w:hAnsi="黑体" w:eastAsia="仿宋_GB2312"/>
          <w:b/>
          <w:sz w:val="32"/>
          <w:szCs w:val="32"/>
        </w:rPr>
      </w:pPr>
      <w:r>
        <w:rPr>
          <w:rFonts w:hint="eastAsia" w:ascii="仿宋_GB2312" w:hAnsi="黑体" w:eastAsia="仿宋_GB2312"/>
          <w:b/>
          <w:sz w:val="32"/>
          <w:szCs w:val="32"/>
          <w:lang w:eastAsia="zh-CN"/>
        </w:rPr>
        <w:t>六</w:t>
      </w:r>
      <w:r>
        <w:rPr>
          <w:rFonts w:hint="eastAsia" w:ascii="仿宋_GB2312" w:hAnsi="黑体" w:eastAsia="仿宋_GB2312"/>
          <w:b/>
          <w:sz w:val="32"/>
          <w:szCs w:val="32"/>
        </w:rPr>
        <w:t>、项目支出：</w:t>
      </w:r>
      <w:r>
        <w:rPr>
          <w:rFonts w:hint="eastAsia" w:ascii="仿宋_GB2312" w:hAnsi="黑体" w:eastAsia="仿宋_GB2312"/>
          <w:sz w:val="32"/>
          <w:szCs w:val="32"/>
        </w:rPr>
        <w:t>指单位为完成特定行政任务和事业发展目标在基本支出之外所发生的支出。</w:t>
      </w:r>
      <w:r>
        <w:rPr>
          <w:rFonts w:hint="eastAsia" w:ascii="仿宋_GB2312" w:hAnsi="黑体" w:eastAsia="仿宋_GB2312"/>
          <w:sz w:val="32"/>
          <w:szCs w:val="32"/>
        </w:rPr>
        <w:br w:type="textWrapping"/>
      </w:r>
      <w:r>
        <w:rPr>
          <w:rFonts w:hint="eastAsia" w:ascii="仿宋_GB2312" w:hAnsi="黑体" w:eastAsia="仿宋_GB2312"/>
          <w:sz w:val="32"/>
          <w:szCs w:val="32"/>
        </w:rPr>
        <w:t xml:space="preserve">    </w:t>
      </w:r>
      <w:r>
        <w:rPr>
          <w:rFonts w:hint="eastAsia" w:ascii="仿宋_GB2312" w:hAnsi="黑体" w:eastAsia="仿宋_GB2312"/>
          <w:b/>
          <w:sz w:val="32"/>
          <w:szCs w:val="32"/>
          <w:lang w:eastAsia="zh-CN"/>
        </w:rPr>
        <w:t>七</w:t>
      </w:r>
      <w:r>
        <w:rPr>
          <w:rFonts w:hint="eastAsia" w:ascii="仿宋_GB2312" w:hAnsi="黑体" w:eastAsia="仿宋_GB2312"/>
          <w:b/>
          <w:sz w:val="32"/>
          <w:szCs w:val="32"/>
        </w:rPr>
        <w:t>、“三公”经费：</w:t>
      </w:r>
      <w:r>
        <w:rPr>
          <w:rFonts w:hint="eastAsia" w:ascii="仿宋_GB2312" w:hAnsi="黑体" w:eastAsia="仿宋_GB2312"/>
          <w:sz w:val="32"/>
          <w:szCs w:val="32"/>
        </w:rPr>
        <w:t>纳入财政预决算管理的“三公”经费，是指单位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及燃料费、维修费、过桥过路费、保险费、安全奖励费用等支出；公务接待费反映单位按规定开支的各类公务接待（含外宾接待</w:t>
      </w:r>
      <w:r>
        <w:rPr>
          <w:rFonts w:ascii="仿宋_GB2312" w:hAnsi="黑体" w:eastAsia="仿宋_GB2312"/>
          <w:sz w:val="32"/>
          <w:szCs w:val="32"/>
        </w:rPr>
        <w:t>）</w:t>
      </w:r>
      <w:r>
        <w:rPr>
          <w:rFonts w:hint="eastAsia" w:ascii="仿宋_GB2312" w:hAnsi="黑体" w:eastAsia="仿宋_GB2312"/>
          <w:sz w:val="32"/>
          <w:szCs w:val="32"/>
        </w:rPr>
        <w:t>支出。</w:t>
      </w:r>
    </w:p>
    <w:p>
      <w:pPr>
        <w:pStyle w:val="3"/>
        <w:spacing w:before="0" w:beforeAutospacing="0" w:after="0" w:afterAutospacing="0" w:line="600" w:lineRule="exact"/>
        <w:ind w:firstLine="630" w:firstLineChars="196"/>
        <w:jc w:val="both"/>
        <w:rPr>
          <w:rFonts w:ascii="仿宋_GB2312" w:hAnsi="黑体" w:eastAsia="仿宋_GB2312"/>
          <w:b/>
          <w:sz w:val="32"/>
          <w:szCs w:val="32"/>
        </w:rPr>
      </w:pPr>
      <w:r>
        <w:rPr>
          <w:rFonts w:hint="eastAsia" w:ascii="仿宋_GB2312" w:hAnsi="黑体" w:eastAsia="仿宋_GB2312"/>
          <w:b/>
          <w:sz w:val="32"/>
          <w:szCs w:val="32"/>
          <w:lang w:eastAsia="zh-CN"/>
        </w:rPr>
        <w:t>八</w:t>
      </w:r>
      <w:r>
        <w:rPr>
          <w:rFonts w:hint="eastAsia" w:ascii="仿宋_GB2312" w:hAnsi="黑体" w:eastAsia="仿宋_GB2312"/>
          <w:b/>
          <w:sz w:val="32"/>
          <w:szCs w:val="32"/>
        </w:rPr>
        <w:t>、机关运行经费</w:t>
      </w:r>
      <w:r>
        <w:rPr>
          <w:rFonts w:hint="eastAsia" w:ascii="仿宋_GB2312" w:hAnsi="黑体" w:eastAsia="仿宋_GB2312"/>
          <w:sz w:val="32"/>
          <w:szCs w:val="32"/>
        </w:rPr>
        <w:t>：</w:t>
      </w:r>
      <w:r>
        <w:rPr>
          <w:rFonts w:hint="eastAsia" w:ascii="仿宋_GB2312" w:eastAsia="仿宋_GB2312"/>
          <w:sz w:val="32"/>
          <w:szCs w:val="32"/>
        </w:rPr>
        <w:t>指为保障行政单位（含参照公务员法管理的事业单位）运行用于购买货物和服务的各项资金</w:t>
      </w:r>
      <w:r>
        <w:rPr>
          <w:rFonts w:hint="eastAsia" w:ascii="仿宋_GB2312" w:hAnsi="Times New Roman" w:eastAsia="仿宋_GB2312"/>
          <w:kern w:val="2"/>
          <w:sz w:val="32"/>
          <w:szCs w:val="32"/>
        </w:rPr>
        <w:t>，包括办公及印刷费、邮电费、差旅费、会议费、福利费、日常维修费、专用材料费及一般设备购置费、办公用房水电费、办公用房取暖费、办公用房物业管理费、公务用车运行维护费以及其他费用。</w:t>
      </w:r>
    </w:p>
    <w:p>
      <w:pPr>
        <w:adjustRightInd w:val="0"/>
        <w:snapToGrid w:val="0"/>
        <w:spacing w:line="600" w:lineRule="exact"/>
        <w:ind w:firstLine="640" w:firstLineChars="200"/>
        <w:rPr>
          <w:rFonts w:ascii="黑体" w:hAnsi="黑体" w:eastAsia="黑体"/>
          <w:szCs w:val="32"/>
        </w:rPr>
      </w:pPr>
    </w:p>
    <w:p>
      <w:pPr>
        <w:adjustRightInd w:val="0"/>
        <w:snapToGrid w:val="0"/>
        <w:spacing w:line="600" w:lineRule="exact"/>
        <w:ind w:firstLine="640" w:firstLineChars="200"/>
        <w:rPr>
          <w:rFonts w:ascii="楷体_GB2312" w:eastAsia="楷体_GB2312" w:cs="宋体"/>
          <w:szCs w:val="32"/>
        </w:rPr>
      </w:pPr>
      <w:r>
        <w:rPr>
          <w:rFonts w:hint="eastAsia" w:ascii="黑体" w:hAnsi="黑体" w:eastAsia="黑体"/>
          <w:szCs w:val="32"/>
        </w:rPr>
        <w:t>附件：</w:t>
      </w:r>
      <w:r>
        <w:rPr>
          <w:rFonts w:hint="eastAsia" w:ascii="仿宋_GB2312" w:cs="宋体"/>
          <w:szCs w:val="32"/>
        </w:rPr>
        <w:t>2022年度</w:t>
      </w:r>
      <w:r>
        <w:rPr>
          <w:rFonts w:hint="eastAsia" w:ascii="仿宋_GB2312" w:hAnsi="仿宋_GB2312" w:cs="仿宋_GB2312"/>
          <w:bCs/>
          <w:szCs w:val="32"/>
        </w:rPr>
        <w:t>项目支出绩效自评表及</w:t>
      </w:r>
      <w:bookmarkStart w:id="0" w:name="_GoBack"/>
      <w:r>
        <w:rPr>
          <w:rFonts w:hint="eastAsia" w:ascii="仿宋_GB2312" w:hAnsi="仿宋_GB2312" w:cs="仿宋_GB2312"/>
          <w:bCs/>
          <w:szCs w:val="32"/>
        </w:rPr>
        <w:t>博望区检察院两房基建</w:t>
      </w:r>
      <w:bookmarkEnd w:id="0"/>
      <w:r>
        <w:rPr>
          <w:rFonts w:hint="eastAsia" w:ascii="仿宋_GB2312" w:cs="宋体"/>
          <w:szCs w:val="32"/>
        </w:rPr>
        <w:t>项目绩效评价报告</w:t>
      </w:r>
    </w:p>
    <w:p>
      <w:pPr>
        <w:rPr>
          <w:rFonts w:ascii="仿宋" w:hAnsi="仿宋" w:eastAsia="仿宋" w:cs="仿宋"/>
          <w:bCs/>
          <w:szCs w:val="32"/>
        </w:rPr>
      </w:pPr>
    </w:p>
    <w:p>
      <w:pPr>
        <w:rPr>
          <w:rFonts w:ascii="仿宋" w:hAnsi="仿宋" w:eastAsia="仿宋" w:cs="仿宋"/>
          <w:bCs/>
          <w:szCs w:val="32"/>
        </w:rPr>
      </w:pPr>
    </w:p>
    <w:p>
      <w:pPr>
        <w:rPr>
          <w:rFonts w:ascii="仿宋" w:hAnsi="仿宋" w:eastAsia="仿宋" w:cs="仿宋"/>
          <w:bCs/>
          <w:szCs w:val="32"/>
        </w:rPr>
      </w:pPr>
    </w:p>
    <w:p>
      <w:pPr>
        <w:rPr>
          <w:rFonts w:ascii="仿宋" w:hAnsi="仿宋" w:eastAsia="仿宋" w:cs="仿宋"/>
          <w:bCs/>
          <w:szCs w:val="32"/>
        </w:rPr>
      </w:pPr>
    </w:p>
    <w:p>
      <w:pPr>
        <w:rPr>
          <w:rFonts w:ascii="仿宋" w:hAnsi="仿宋" w:eastAsia="仿宋" w:cs="仿宋"/>
          <w:bCs/>
          <w:szCs w:val="32"/>
        </w:rPr>
      </w:pPr>
    </w:p>
    <w:p>
      <w:pPr>
        <w:rPr>
          <w:rFonts w:ascii="仿宋" w:hAnsi="仿宋" w:eastAsia="仿宋" w:cs="仿宋"/>
          <w:bCs/>
          <w:szCs w:val="32"/>
        </w:rPr>
      </w:pPr>
    </w:p>
    <w:p>
      <w:pPr>
        <w:rPr>
          <w:rFonts w:ascii="仿宋" w:hAnsi="仿宋" w:eastAsia="仿宋" w:cs="仿宋"/>
          <w:bCs/>
          <w:szCs w:val="32"/>
        </w:rPr>
      </w:pPr>
    </w:p>
    <w:p>
      <w:pPr>
        <w:rPr>
          <w:rFonts w:ascii="仿宋" w:hAnsi="仿宋" w:eastAsia="仿宋" w:cs="仿宋"/>
          <w:bCs/>
          <w:szCs w:val="32"/>
        </w:rPr>
      </w:pPr>
    </w:p>
    <w:p>
      <w:pPr>
        <w:rPr>
          <w:rFonts w:ascii="仿宋" w:hAnsi="仿宋" w:eastAsia="仿宋" w:cs="仿宋"/>
          <w:bCs/>
          <w:szCs w:val="32"/>
        </w:rPr>
      </w:pPr>
    </w:p>
    <w:p>
      <w:pPr>
        <w:pStyle w:val="2"/>
      </w:pPr>
    </w:p>
    <w:p>
      <w:pPr>
        <w:rPr>
          <w:rFonts w:ascii="仿宋" w:hAnsi="仿宋" w:eastAsia="仿宋" w:cs="仿宋"/>
          <w:bCs/>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CB71D1"/>
    <w:multiLevelType w:val="singleLevel"/>
    <w:tmpl w:val="64CB71D1"/>
    <w:lvl w:ilvl="0" w:tentative="0">
      <w:start w:val="4"/>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yODAyMzMyMjQ2YjAyZTJlYTA0OTQxMzg0NWQ3NzUifQ=="/>
  </w:docVars>
  <w:rsids>
    <w:rsidRoot w:val="00DB31F1"/>
    <w:rsid w:val="00082529"/>
    <w:rsid w:val="003563F4"/>
    <w:rsid w:val="0047311C"/>
    <w:rsid w:val="006140F3"/>
    <w:rsid w:val="00AB55F1"/>
    <w:rsid w:val="00B4799E"/>
    <w:rsid w:val="00DB31F1"/>
    <w:rsid w:val="00FB2B31"/>
    <w:rsid w:val="024A103A"/>
    <w:rsid w:val="0518120E"/>
    <w:rsid w:val="05F60DA6"/>
    <w:rsid w:val="05F94DCD"/>
    <w:rsid w:val="061D286A"/>
    <w:rsid w:val="062B1417"/>
    <w:rsid w:val="076870BB"/>
    <w:rsid w:val="088C1A21"/>
    <w:rsid w:val="08BB7BE1"/>
    <w:rsid w:val="096454BB"/>
    <w:rsid w:val="0AFA0F4B"/>
    <w:rsid w:val="0CE93538"/>
    <w:rsid w:val="0EE13013"/>
    <w:rsid w:val="0F07055B"/>
    <w:rsid w:val="111E1B8C"/>
    <w:rsid w:val="1283439D"/>
    <w:rsid w:val="12AB55AA"/>
    <w:rsid w:val="15CE7169"/>
    <w:rsid w:val="1A7A7E33"/>
    <w:rsid w:val="1B3C15F9"/>
    <w:rsid w:val="1B8F168F"/>
    <w:rsid w:val="1CF5727B"/>
    <w:rsid w:val="1EB51D82"/>
    <w:rsid w:val="1F11223C"/>
    <w:rsid w:val="1F797FA7"/>
    <w:rsid w:val="2084190A"/>
    <w:rsid w:val="2265492A"/>
    <w:rsid w:val="236D54AB"/>
    <w:rsid w:val="2624159B"/>
    <w:rsid w:val="265C7C74"/>
    <w:rsid w:val="26EF7DFB"/>
    <w:rsid w:val="27E579C3"/>
    <w:rsid w:val="282817BD"/>
    <w:rsid w:val="297C13CA"/>
    <w:rsid w:val="2A8C1D67"/>
    <w:rsid w:val="2C4707EF"/>
    <w:rsid w:val="30297C63"/>
    <w:rsid w:val="33B977C6"/>
    <w:rsid w:val="371C50CF"/>
    <w:rsid w:val="38E65613"/>
    <w:rsid w:val="39087851"/>
    <w:rsid w:val="39223077"/>
    <w:rsid w:val="3B7010B2"/>
    <w:rsid w:val="3C3245BA"/>
    <w:rsid w:val="3C797AF3"/>
    <w:rsid w:val="3F8C7E7E"/>
    <w:rsid w:val="3F97055B"/>
    <w:rsid w:val="41C35C45"/>
    <w:rsid w:val="424F7491"/>
    <w:rsid w:val="456569C3"/>
    <w:rsid w:val="45E306D3"/>
    <w:rsid w:val="46494E1C"/>
    <w:rsid w:val="475452E2"/>
    <w:rsid w:val="481132D5"/>
    <w:rsid w:val="485319B6"/>
    <w:rsid w:val="48CE4B45"/>
    <w:rsid w:val="4A477482"/>
    <w:rsid w:val="4AF528F5"/>
    <w:rsid w:val="56E83D38"/>
    <w:rsid w:val="5727418B"/>
    <w:rsid w:val="5ABE7E1B"/>
    <w:rsid w:val="5BE54D4D"/>
    <w:rsid w:val="5E8A03ED"/>
    <w:rsid w:val="5EA24952"/>
    <w:rsid w:val="5F682483"/>
    <w:rsid w:val="60A24202"/>
    <w:rsid w:val="61D76756"/>
    <w:rsid w:val="67B57524"/>
    <w:rsid w:val="683F263B"/>
    <w:rsid w:val="695E1C9B"/>
    <w:rsid w:val="6E210C6D"/>
    <w:rsid w:val="6E895A0C"/>
    <w:rsid w:val="75220865"/>
    <w:rsid w:val="763D6211"/>
    <w:rsid w:val="785A753D"/>
    <w:rsid w:val="78A84CE1"/>
    <w:rsid w:val="7A10246D"/>
    <w:rsid w:val="7CB7092B"/>
    <w:rsid w:val="7EC37A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jc w:val="center"/>
    </w:pPr>
    <w:rPr>
      <w:rFonts w:eastAsia="黑体"/>
      <w:sz w:val="36"/>
    </w:rPr>
  </w:style>
  <w:style w:type="paragraph" w:styleId="3">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2512</Words>
  <Characters>14325</Characters>
  <Lines>119</Lines>
  <Paragraphs>33</Paragraphs>
  <TotalTime>1</TotalTime>
  <ScaleCrop>false</ScaleCrop>
  <LinksUpToDate>false</LinksUpToDate>
  <CharactersWithSpaces>16804</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2023-09-05T01:45:00Z</dcterms:created>
  <dc:creator>Administrator</dc:creator>
  <cp:lastModifiedBy>孙楠楠</cp:lastModifiedBy>
  <dcterms:modified xsi:type="dcterms:W3CDTF">2023-09-18T04:03:05Z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633B7CF619854F73A8F25BFBCB5FAB14_13</vt:lpwstr>
  </property>
</Properties>
</file>