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8F1AA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博望区人民检察院工作报告</w:t>
      </w:r>
    </w:p>
    <w:p w14:paraId="541A4666">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default" w:ascii="Times New Roman" w:hAnsi="Times New Roman" w:eastAsia="仿宋_GB2312" w:cs="Times New Roman"/>
          <w:color w:val="000000"/>
          <w:sz w:val="32"/>
          <w:szCs w:val="32"/>
        </w:rPr>
        <w:t>202</w:t>
      </w:r>
      <w:r>
        <w:rPr>
          <w:rFonts w:hint="eastAsia" w:ascii="Times New Roman" w:hAnsi="Times New Roman" w:eastAsia="仿宋_GB2312" w:cs="Times New Roman"/>
          <w:color w:val="000000"/>
          <w:sz w:val="32"/>
          <w:szCs w:val="32"/>
          <w:lang w:val="en-US" w:eastAsia="zh-CN"/>
        </w:rPr>
        <w:t>4</w:t>
      </w:r>
      <w:r>
        <w:rPr>
          <w:rFonts w:hint="eastAsia" w:ascii="仿宋_GB2312" w:hAnsi="仿宋_GB2312" w:eastAsia="仿宋_GB2312" w:cs="仿宋_GB2312"/>
          <w:color w:val="000000"/>
          <w:sz w:val="32"/>
          <w:szCs w:val="32"/>
        </w:rPr>
        <w:t>年</w:t>
      </w:r>
      <w:r>
        <w:rPr>
          <w:rFonts w:hint="default" w:ascii="Times New Roman" w:hAnsi="Times New Roman" w:eastAsia="仿宋_GB2312" w:cs="Times New Roman"/>
          <w:color w:val="000000"/>
          <w:sz w:val="32"/>
          <w:szCs w:val="32"/>
        </w:rPr>
        <w:t>12</w:t>
      </w:r>
      <w:r>
        <w:rPr>
          <w:rFonts w:hint="eastAsia" w:ascii="仿宋_GB2312" w:hAnsi="仿宋_GB2312" w:eastAsia="仿宋_GB2312" w:cs="仿宋_GB2312"/>
          <w:color w:val="000000"/>
          <w:sz w:val="32"/>
          <w:szCs w:val="32"/>
        </w:rPr>
        <w:t>月</w:t>
      </w:r>
      <w:r>
        <w:rPr>
          <w:rFonts w:hint="eastAsia" w:ascii="Times New Roman" w:hAnsi="Times New Roman" w:eastAsia="仿宋_GB2312" w:cs="Times New Roman"/>
          <w:color w:val="000000"/>
          <w:sz w:val="32"/>
          <w:szCs w:val="32"/>
          <w:lang w:val="en-US" w:eastAsia="zh-CN"/>
        </w:rPr>
        <w:t>27</w:t>
      </w:r>
      <w:r>
        <w:rPr>
          <w:rFonts w:hint="eastAsia" w:ascii="仿宋_GB2312" w:hAnsi="仿宋_GB2312" w:eastAsia="仿宋_GB2312" w:cs="仿宋_GB2312"/>
          <w:color w:val="000000"/>
          <w:sz w:val="32"/>
          <w:szCs w:val="32"/>
        </w:rPr>
        <w:t>日在博望区第</w:t>
      </w:r>
      <w:r>
        <w:rPr>
          <w:rFonts w:hint="eastAsia" w:ascii="仿宋_GB2312" w:hAnsi="仿宋_GB2312" w:eastAsia="仿宋_GB2312" w:cs="仿宋_GB2312"/>
          <w:color w:val="000000"/>
          <w:sz w:val="32"/>
          <w:szCs w:val="32"/>
          <w:lang w:val="en-US" w:eastAsia="zh-CN"/>
        </w:rPr>
        <w:t>三</w:t>
      </w:r>
      <w:r>
        <w:rPr>
          <w:rFonts w:hint="eastAsia" w:ascii="仿宋_GB2312" w:hAnsi="仿宋_GB2312" w:eastAsia="仿宋_GB2312" w:cs="仿宋_GB2312"/>
          <w:color w:val="000000"/>
          <w:sz w:val="32"/>
          <w:szCs w:val="32"/>
        </w:rPr>
        <w:t>届</w:t>
      </w:r>
    </w:p>
    <w:p w14:paraId="66366BD4">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仿宋_GB2312" w:eastAsia="仿宋_GB2312"/>
          <w:sz w:val="32"/>
          <w:szCs w:val="32"/>
          <w:lang w:val="en-US" w:eastAsia="zh-CN"/>
        </w:rPr>
      </w:pPr>
      <w:r>
        <w:rPr>
          <w:rFonts w:hint="eastAsia" w:ascii="仿宋_GB2312" w:hAnsi="仿宋_GB2312" w:eastAsia="仿宋_GB2312" w:cs="仿宋_GB2312"/>
          <w:color w:val="000000"/>
          <w:sz w:val="32"/>
          <w:szCs w:val="32"/>
        </w:rPr>
        <w:t>人民代表大会第</w:t>
      </w:r>
      <w:r>
        <w:rPr>
          <w:rFonts w:hint="eastAsia" w:ascii="仿宋_GB2312" w:hAnsi="仿宋_GB2312" w:eastAsia="仿宋_GB2312" w:cs="仿宋_GB2312"/>
          <w:color w:val="000000"/>
          <w:sz w:val="32"/>
          <w:szCs w:val="32"/>
          <w:lang w:val="en-US" w:eastAsia="zh-CN"/>
        </w:rPr>
        <w:t>五</w:t>
      </w:r>
      <w:r>
        <w:rPr>
          <w:rFonts w:hint="eastAsia" w:ascii="仿宋_GB2312" w:hAnsi="仿宋_GB2312" w:eastAsia="仿宋_GB2312" w:cs="仿宋_GB2312"/>
          <w:color w:val="000000"/>
          <w:sz w:val="32"/>
          <w:szCs w:val="32"/>
        </w:rPr>
        <w:t>次会议上</w:t>
      </w:r>
    </w:p>
    <w:p w14:paraId="5905DBF3">
      <w:pPr>
        <w:pStyle w:val="2"/>
        <w:keepNext/>
        <w:keepLines/>
        <w:pageBreakBefore w:val="0"/>
        <w:widowControl w:val="0"/>
        <w:kinsoku/>
        <w:wordWrap/>
        <w:overflowPunct/>
        <w:topLinePunct w:val="0"/>
        <w:autoSpaceDE/>
        <w:autoSpaceDN/>
        <w:bidi w:val="0"/>
        <w:adjustRightInd/>
        <w:snapToGrid w:val="0"/>
        <w:spacing w:before="0" w:beforeLines="0" w:after="0" w:afterLines="0" w:line="560" w:lineRule="exact"/>
        <w:textAlignment w:val="auto"/>
        <w:rPr>
          <w:rFonts w:hint="eastAsia" w:ascii="Times New Roman" w:hAnsi="Times New Roman" w:eastAsia="仿宋_GB2312" w:cs="Times New Roman"/>
          <w:b w:val="0"/>
          <w:bCs w:val="0"/>
          <w:color w:val="000000"/>
          <w:spacing w:val="0"/>
          <w:kern w:val="2"/>
          <w:sz w:val="32"/>
          <w:szCs w:val="32"/>
          <w:shd w:val="clear" w:color="auto" w:fill="FFFFFF"/>
          <w:lang w:val="zh-CN" w:eastAsia="zh-CN" w:bidi="ar-SA"/>
        </w:rPr>
      </w:pPr>
    </w:p>
    <w:p w14:paraId="0E03ED11">
      <w:pPr>
        <w:pStyle w:val="2"/>
        <w:keepNext/>
        <w:keepLines/>
        <w:pageBreakBefore w:val="0"/>
        <w:widowControl w:val="0"/>
        <w:kinsoku/>
        <w:wordWrap/>
        <w:overflowPunct/>
        <w:topLinePunct w:val="0"/>
        <w:autoSpaceDE/>
        <w:autoSpaceDN/>
        <w:bidi w:val="0"/>
        <w:adjustRightInd/>
        <w:snapToGrid w:val="0"/>
        <w:spacing w:before="0" w:beforeLines="0" w:after="0" w:afterLines="0" w:line="560" w:lineRule="exact"/>
        <w:jc w:val="both"/>
        <w:textAlignment w:val="auto"/>
        <w:rPr>
          <w:rFonts w:hint="eastAsia" w:ascii="Times New Roman" w:hAnsi="Times New Roman" w:eastAsia="仿宋_GB2312" w:cs="Times New Roman"/>
          <w:b w:val="0"/>
          <w:bCs w:val="0"/>
          <w:color w:val="000000"/>
          <w:spacing w:val="0"/>
          <w:kern w:val="2"/>
          <w:sz w:val="32"/>
          <w:szCs w:val="32"/>
          <w:shd w:val="clear" w:color="auto" w:fill="FFFFFF"/>
          <w:lang w:val="zh-CN" w:eastAsia="zh-CN" w:bidi="ar-SA"/>
        </w:rPr>
      </w:pPr>
      <w:r>
        <w:rPr>
          <w:rFonts w:hint="eastAsia" w:ascii="Times New Roman" w:hAnsi="Times New Roman" w:eastAsia="仿宋_GB2312" w:cs="Times New Roman"/>
          <w:b w:val="0"/>
          <w:bCs w:val="0"/>
          <w:color w:val="000000"/>
          <w:spacing w:val="0"/>
          <w:kern w:val="2"/>
          <w:sz w:val="32"/>
          <w:szCs w:val="32"/>
          <w:shd w:val="clear" w:color="auto" w:fill="FFFFFF"/>
          <w:lang w:val="zh-CN" w:eastAsia="zh-CN" w:bidi="ar-SA"/>
        </w:rPr>
        <w:t>各位代表：</w:t>
      </w:r>
    </w:p>
    <w:p w14:paraId="12326139">
      <w:pPr>
        <w:pStyle w:val="2"/>
        <w:keepNext/>
        <w:keepLines/>
        <w:pageBreakBefore w:val="0"/>
        <w:widowControl w:val="0"/>
        <w:kinsoku/>
        <w:wordWrap/>
        <w:overflowPunct/>
        <w:topLinePunct w:val="0"/>
        <w:autoSpaceDE/>
        <w:autoSpaceDN/>
        <w:bidi w:val="0"/>
        <w:adjustRightInd/>
        <w:snapToGrid w:val="0"/>
        <w:spacing w:before="0" w:beforeLines="0" w:after="0" w:afterLines="0" w:line="560" w:lineRule="exact"/>
        <w:ind w:firstLine="640" w:firstLineChars="200"/>
        <w:jc w:val="both"/>
        <w:textAlignment w:val="auto"/>
        <w:rPr>
          <w:rFonts w:hint="eastAsia" w:ascii="Times New Roman" w:hAnsi="Times New Roman" w:eastAsia="仿宋_GB2312" w:cs="Times New Roman"/>
          <w:b w:val="0"/>
          <w:bCs w:val="0"/>
          <w:color w:val="000000"/>
          <w:spacing w:val="0"/>
          <w:kern w:val="2"/>
          <w:sz w:val="32"/>
          <w:szCs w:val="32"/>
          <w:shd w:val="clear" w:color="auto" w:fill="FFFFFF"/>
          <w:lang w:val="zh-CN" w:eastAsia="zh-CN" w:bidi="ar-SA"/>
        </w:rPr>
      </w:pPr>
      <w:r>
        <w:rPr>
          <w:rFonts w:hint="eastAsia" w:ascii="Times New Roman" w:hAnsi="Times New Roman" w:eastAsia="仿宋_GB2312" w:cs="Times New Roman"/>
          <w:b w:val="0"/>
          <w:bCs w:val="0"/>
          <w:color w:val="000000"/>
          <w:spacing w:val="0"/>
          <w:kern w:val="2"/>
          <w:sz w:val="32"/>
          <w:szCs w:val="32"/>
          <w:shd w:val="clear" w:color="auto" w:fill="FFFFFF"/>
          <w:lang w:val="zh-CN" w:eastAsia="zh-CN" w:bidi="ar-SA"/>
        </w:rPr>
        <w:t>现在，我代表区人民检察院向大会报告工作，请予审议，并请政协委员和列席人员提出意见。</w:t>
      </w:r>
    </w:p>
    <w:p w14:paraId="3D0D20FF"/>
    <w:p w14:paraId="333AFDB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黑体" w:hAnsi="黑体" w:eastAsia="黑体" w:cs="黑体"/>
          <w:kern w:val="0"/>
          <w:sz w:val="32"/>
          <w:szCs w:val="32"/>
        </w:rPr>
      </w:pPr>
      <w:r>
        <w:rPr>
          <w:rFonts w:hint="default" w:ascii="Times New Roman" w:hAnsi="Times New Roman" w:eastAsia="黑体" w:cs="Times New Roman"/>
          <w:kern w:val="0"/>
          <w:sz w:val="32"/>
          <w:szCs w:val="32"/>
        </w:rPr>
        <w:t>202</w:t>
      </w:r>
      <w:r>
        <w:rPr>
          <w:rFonts w:hint="default" w:ascii="Times New Roman" w:hAnsi="Times New Roman" w:eastAsia="黑体" w:cs="Times New Roman"/>
          <w:kern w:val="0"/>
          <w:sz w:val="32"/>
          <w:szCs w:val="32"/>
          <w:lang w:val="en-US" w:eastAsia="zh-CN"/>
        </w:rPr>
        <w:t>4</w:t>
      </w:r>
      <w:r>
        <w:rPr>
          <w:rFonts w:hint="eastAsia" w:ascii="黑体" w:hAnsi="黑体" w:eastAsia="黑体" w:cs="黑体"/>
          <w:kern w:val="0"/>
          <w:sz w:val="32"/>
          <w:szCs w:val="32"/>
        </w:rPr>
        <w:t>年主要工作</w:t>
      </w:r>
    </w:p>
    <w:p w14:paraId="44FE3AE3">
      <w:pPr>
        <w:pStyle w:val="9"/>
        <w:rPr>
          <w:rFonts w:hint="default"/>
          <w:lang w:val="en-US" w:eastAsia="zh-CN"/>
        </w:rPr>
      </w:pPr>
    </w:p>
    <w:p w14:paraId="2855179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val="0"/>
          <w:bCs w:val="0"/>
          <w:color w:val="auto"/>
          <w:spacing w:val="0"/>
          <w:kern w:val="2"/>
          <w:sz w:val="32"/>
          <w:szCs w:val="32"/>
          <w:lang w:val="en-US" w:eastAsia="zh-CN" w:bidi="ar-SA"/>
        </w:rPr>
        <w:t>2024年，博望区检察院</w:t>
      </w:r>
      <w:r>
        <w:rPr>
          <w:rFonts w:hint="default" w:ascii="Times New Roman" w:hAnsi="Times New Roman" w:eastAsia="仿宋_GB2312" w:cs="Times New Roman"/>
          <w:sz w:val="32"/>
          <w:szCs w:val="32"/>
        </w:rPr>
        <w:t>坚持以习近平新时代中国特色社会主义</w:t>
      </w:r>
      <w:r>
        <w:rPr>
          <w:rFonts w:hint="eastAsia" w:ascii="Times New Roman" w:hAnsi="Times New Roman" w:eastAsia="仿宋_GB2312" w:cs="Times New Roman"/>
          <w:sz w:val="32"/>
          <w:szCs w:val="32"/>
          <w:lang w:val="en-US" w:eastAsia="zh-CN"/>
        </w:rPr>
        <w:t>思想为指导</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全面贯彻落实党的二十大和二十届三中全会精神，积极践行习近平法治思想，</w:t>
      </w:r>
      <w:r>
        <w:rPr>
          <w:rFonts w:hint="eastAsia" w:ascii="Times New Roman" w:hAnsi="Times New Roman" w:eastAsia="仿宋_GB2312" w:cs="Times New Roman"/>
          <w:b w:val="0"/>
          <w:bCs w:val="0"/>
          <w:color w:val="auto"/>
          <w:spacing w:val="0"/>
          <w:kern w:val="2"/>
          <w:sz w:val="32"/>
          <w:szCs w:val="32"/>
          <w:lang w:val="en-US" w:eastAsia="zh-CN" w:bidi="ar-SA"/>
        </w:rPr>
        <w:t>在区委和市检察院的坚强领导下，</w:t>
      </w:r>
      <w:r>
        <w:rPr>
          <w:rFonts w:hint="default" w:ascii="Times New Roman" w:hAnsi="Times New Roman" w:eastAsia="仿宋_GB2312" w:cs="Times New Roman"/>
          <w:kern w:val="2"/>
          <w:sz w:val="32"/>
          <w:szCs w:val="32"/>
        </w:rPr>
        <w:t>在区人大及其常委会的有力监督下，在区政府、区政协及社会各界的关心支持下，</w:t>
      </w:r>
      <w:bookmarkStart w:id="0" w:name="OLE_LINK2"/>
      <w:r>
        <w:rPr>
          <w:rFonts w:hint="eastAsia" w:ascii="Times New Roman" w:hAnsi="Times New Roman" w:eastAsia="仿宋_GB2312" w:cs="Times New Roman"/>
          <w:sz w:val="32"/>
          <w:szCs w:val="32"/>
          <w:lang w:val="en-US" w:eastAsia="zh-CN"/>
        </w:rPr>
        <w:t>坚持为大局服务、为人民司法、为法治担当，高质效履行法律监督职责，</w:t>
      </w:r>
      <w:bookmarkEnd w:id="0"/>
      <w:r>
        <w:rPr>
          <w:rFonts w:hint="eastAsia" w:ascii="Times New Roman" w:hAnsi="Times New Roman" w:eastAsia="仿宋_GB2312" w:cs="Times New Roman"/>
          <w:sz w:val="32"/>
          <w:szCs w:val="32"/>
          <w:lang w:val="en-US" w:eastAsia="zh-CN"/>
        </w:rPr>
        <w:t>各项工作取得新进展新成效。</w:t>
      </w:r>
    </w:p>
    <w:p w14:paraId="5F9B2CA4">
      <w:pPr>
        <w:pStyle w:val="9"/>
        <w:keepNext w:val="0"/>
        <w:keepLines w:val="0"/>
        <w:pageBreakBefore w:val="0"/>
        <w:widowControl w:val="0"/>
        <w:kinsoku/>
        <w:wordWrap/>
        <w:overflowPunct/>
        <w:topLinePunct w:val="0"/>
        <w:bidi w:val="0"/>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一、紧扣中心大局，聚力服务高质量发展</w:t>
      </w:r>
    </w:p>
    <w:p w14:paraId="51C49FF7">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一是全力</w:t>
      </w:r>
      <w:r>
        <w:rPr>
          <w:rFonts w:hint="default" w:ascii="Times New Roman" w:hAnsi="Times New Roman" w:eastAsia="仿宋_GB2312" w:cs="Times New Roman"/>
          <w:b/>
          <w:bCs/>
          <w:sz w:val="32"/>
          <w:szCs w:val="32"/>
          <w:lang w:val="en-US" w:eastAsia="zh-CN"/>
        </w:rPr>
        <w:t>维护社会安全稳定</w:t>
      </w:r>
      <w:r>
        <w:rPr>
          <w:rFonts w:hint="eastAsia" w:ascii="Times New Roman" w:hAnsi="Times New Roman" w:eastAsia="仿宋_GB2312" w:cs="Times New Roman"/>
          <w:b/>
          <w:bCs/>
          <w:sz w:val="32"/>
          <w:szCs w:val="32"/>
          <w:lang w:val="en-US" w:eastAsia="zh-CN"/>
        </w:rPr>
        <w:t>。</w:t>
      </w:r>
      <w:r>
        <w:rPr>
          <w:rFonts w:hint="eastAsia" w:ascii="Times New Roman" w:hAnsi="Times New Roman" w:eastAsia="仿宋_GB2312" w:cs="Times New Roman"/>
          <w:sz w:val="32"/>
          <w:szCs w:val="32"/>
          <w:lang w:val="en-US" w:eastAsia="zh-CN"/>
        </w:rPr>
        <w:t>精准打击各类刑事犯罪，依法履行批捕起诉检察职能，全年共批捕各类刑事犯罪48件69人，起诉134件302人。聚焦人民群众生命安全，对故意杀人、故意伤害致人重伤、强奸等严重暴力犯罪，持续保持高压严惩态势，批捕5件6人，起诉10件12人。依法办理盗窃、诈骗等多发性侵财犯罪，起诉24件30人。保持对黄赌毒犯罪的高压态势，起诉15件104人。持续加强对电信网络诈骗的治理力度，依法起诉帮助信息网络犯罪活动罪、掩饰、隐瞒犯罪所得罪13件41人。</w:t>
      </w:r>
    </w:p>
    <w:p w14:paraId="2D84AA03">
      <w:pPr>
        <w:pStyle w:val="9"/>
        <w:keepNext w:val="0"/>
        <w:keepLines w:val="0"/>
        <w:pageBreakBefore w:val="0"/>
        <w:widowControl w:val="0"/>
        <w:kinsoku/>
        <w:wordWrap/>
        <w:overflowPunct/>
        <w:topLinePunct w:val="0"/>
        <w:bidi w:val="0"/>
        <w:spacing w:line="560" w:lineRule="exact"/>
        <w:ind w:firstLine="643" w:firstLineChars="200"/>
        <w:textAlignment w:val="auto"/>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b/>
          <w:bCs/>
          <w:color w:val="auto"/>
          <w:kern w:val="2"/>
          <w:sz w:val="32"/>
          <w:szCs w:val="32"/>
          <w:lang w:val="en-US" w:eastAsia="zh-CN" w:bidi="ar-SA"/>
        </w:rPr>
        <w:t>二是</w:t>
      </w:r>
      <w:r>
        <w:rPr>
          <w:rFonts w:hint="eastAsia" w:ascii="Times New Roman" w:eastAsia="仿宋_GB2312" w:cs="Times New Roman"/>
          <w:b/>
          <w:bCs/>
          <w:color w:val="auto"/>
          <w:kern w:val="2"/>
          <w:sz w:val="32"/>
          <w:szCs w:val="32"/>
          <w:lang w:val="en-US" w:eastAsia="zh-CN" w:bidi="ar-SA"/>
        </w:rPr>
        <w:t>持续优化</w:t>
      </w:r>
      <w:r>
        <w:rPr>
          <w:rFonts w:hint="default" w:ascii="Times New Roman" w:hAnsi="Times New Roman" w:eastAsia="仿宋_GB2312" w:cs="Times New Roman"/>
          <w:b/>
          <w:bCs/>
          <w:color w:val="auto"/>
          <w:kern w:val="2"/>
          <w:sz w:val="32"/>
          <w:szCs w:val="32"/>
          <w:lang w:val="en-US" w:eastAsia="zh-CN" w:bidi="ar-SA"/>
        </w:rPr>
        <w:t>法治营商环境</w:t>
      </w:r>
      <w:r>
        <w:rPr>
          <w:rFonts w:hint="eastAsia" w:ascii="Times New Roman" w:hAnsi="Times New Roman" w:eastAsia="仿宋_GB2312" w:cs="Times New Roman"/>
          <w:b/>
          <w:bCs/>
          <w:color w:val="auto"/>
          <w:kern w:val="2"/>
          <w:sz w:val="32"/>
          <w:szCs w:val="32"/>
          <w:lang w:val="en-US" w:eastAsia="zh-CN" w:bidi="ar-SA"/>
        </w:rPr>
        <w:t>。</w:t>
      </w:r>
      <w:r>
        <w:rPr>
          <w:rFonts w:hint="eastAsia" w:ascii="Times New Roman" w:eastAsia="仿宋_GB2312" w:cs="Times New Roman"/>
          <w:color w:val="auto"/>
          <w:kern w:val="2"/>
          <w:sz w:val="32"/>
          <w:szCs w:val="32"/>
          <w:lang w:val="en-US" w:eastAsia="zh-CN" w:bidi="ar-SA"/>
        </w:rPr>
        <w:t>扎实开展“检察护企”专项行动，聚焦重点任务，依法平等保护各类经营主体，以法治之力维护市场经济秩序。</w:t>
      </w:r>
      <w:r>
        <w:rPr>
          <w:rFonts w:hint="eastAsia" w:ascii="Times New Roman" w:hAnsi="Times New Roman" w:eastAsia="仿宋_GB2312" w:cs="Times New Roman"/>
          <w:color w:val="auto"/>
          <w:kern w:val="2"/>
          <w:sz w:val="32"/>
          <w:szCs w:val="32"/>
          <w:lang w:val="en-US" w:eastAsia="zh-CN" w:bidi="ar-SA"/>
        </w:rPr>
        <w:t>依法严厉打击侵害企业合法权益犯罪，办理挪用资金、职务侵占等侵犯企业财产权益</w:t>
      </w:r>
      <w:r>
        <w:rPr>
          <w:rFonts w:hint="eastAsia" w:ascii="Times New Roman" w:eastAsia="仿宋_GB2312" w:cs="Times New Roman"/>
          <w:color w:val="auto"/>
          <w:kern w:val="2"/>
          <w:sz w:val="32"/>
          <w:szCs w:val="32"/>
          <w:lang w:val="en-US" w:eastAsia="zh-CN" w:bidi="ar-SA"/>
        </w:rPr>
        <w:t>刑事案件10件11人，帮助被害</w:t>
      </w:r>
      <w:r>
        <w:rPr>
          <w:rFonts w:hint="eastAsia" w:ascii="Times New Roman" w:hAnsi="Times New Roman" w:eastAsia="仿宋_GB2312" w:cs="Times New Roman"/>
          <w:color w:val="auto"/>
          <w:kern w:val="2"/>
          <w:sz w:val="32"/>
          <w:szCs w:val="32"/>
          <w:lang w:val="en-US" w:eastAsia="zh-CN" w:bidi="ar-SA"/>
        </w:rPr>
        <w:t>企业挽回经济损失</w:t>
      </w:r>
      <w:r>
        <w:rPr>
          <w:rFonts w:hint="eastAsia" w:ascii="Times New Roman" w:eastAsia="仿宋_GB2312" w:cs="Times New Roman"/>
          <w:color w:val="auto"/>
          <w:kern w:val="2"/>
          <w:sz w:val="32"/>
          <w:szCs w:val="32"/>
          <w:highlight w:val="none"/>
          <w:lang w:val="en-US" w:eastAsia="zh-CN" w:bidi="ar-SA"/>
        </w:rPr>
        <w:t>46</w:t>
      </w:r>
      <w:r>
        <w:rPr>
          <w:rFonts w:hint="eastAsia" w:ascii="Times New Roman" w:hAnsi="Times New Roman" w:eastAsia="仿宋_GB2312" w:cs="Times New Roman"/>
          <w:color w:val="auto"/>
          <w:kern w:val="2"/>
          <w:sz w:val="32"/>
          <w:szCs w:val="32"/>
          <w:highlight w:val="none"/>
          <w:lang w:val="en-US" w:eastAsia="zh-CN" w:bidi="ar-SA"/>
        </w:rPr>
        <w:t>万元。</w:t>
      </w:r>
      <w:r>
        <w:rPr>
          <w:rFonts w:hint="eastAsia" w:ascii="Times New Roman" w:hAnsi="Times New Roman" w:eastAsia="仿宋_GB2312" w:cs="Times New Roman"/>
          <w:color w:val="auto"/>
          <w:kern w:val="2"/>
          <w:sz w:val="32"/>
          <w:szCs w:val="32"/>
          <w:lang w:val="en-US" w:eastAsia="zh-CN" w:bidi="ar-SA"/>
        </w:rPr>
        <w:t>与博望区工商联会签《“检察护企”联络站工作机制》</w:t>
      </w:r>
      <w:r>
        <w:rPr>
          <w:rFonts w:hint="eastAsia" w:ascii="Times New Roman" w:eastAsia="仿宋_GB2312" w:cs="Times New Roman"/>
          <w:color w:val="auto"/>
          <w:kern w:val="2"/>
          <w:sz w:val="32"/>
          <w:szCs w:val="32"/>
          <w:lang w:val="en-US" w:eastAsia="zh-CN" w:bidi="ar-SA"/>
        </w:rPr>
        <w:t>，</w:t>
      </w:r>
      <w:r>
        <w:rPr>
          <w:rFonts w:hint="eastAsia" w:ascii="Times New Roman" w:hAnsi="Times New Roman" w:eastAsia="仿宋_GB2312" w:cs="Times New Roman"/>
          <w:color w:val="auto"/>
          <w:kern w:val="2"/>
          <w:sz w:val="32"/>
          <w:szCs w:val="32"/>
          <w:lang w:val="en-US" w:eastAsia="zh-CN" w:bidi="ar-SA"/>
        </w:rPr>
        <w:t>在</w:t>
      </w:r>
      <w:r>
        <w:rPr>
          <w:rFonts w:hint="eastAsia" w:ascii="Times New Roman" w:eastAsia="仿宋_GB2312" w:cs="Times New Roman"/>
          <w:color w:val="auto"/>
          <w:kern w:val="2"/>
          <w:sz w:val="32"/>
          <w:szCs w:val="32"/>
          <w:lang w:val="en-US" w:eastAsia="zh-CN" w:bidi="ar-SA"/>
        </w:rPr>
        <w:t>三</w:t>
      </w:r>
      <w:r>
        <w:rPr>
          <w:rFonts w:hint="eastAsia" w:ascii="Times New Roman" w:hAnsi="Times New Roman" w:eastAsia="仿宋_GB2312" w:cs="Times New Roman"/>
          <w:color w:val="auto"/>
          <w:kern w:val="2"/>
          <w:sz w:val="32"/>
          <w:szCs w:val="32"/>
          <w:lang w:val="en-US" w:eastAsia="zh-CN" w:bidi="ar-SA"/>
        </w:rPr>
        <w:t>镇商会设立“检察</w:t>
      </w:r>
      <w:r>
        <w:rPr>
          <w:rFonts w:hint="eastAsia" w:ascii="Times New Roman" w:eastAsia="仿宋_GB2312" w:cs="Times New Roman"/>
          <w:color w:val="auto"/>
          <w:kern w:val="2"/>
          <w:sz w:val="32"/>
          <w:szCs w:val="32"/>
          <w:lang w:val="en-US" w:eastAsia="zh-CN" w:bidi="ar-SA"/>
        </w:rPr>
        <w:t>护企”工作联络站，为</w:t>
      </w:r>
      <w:r>
        <w:rPr>
          <w:rFonts w:hint="default" w:ascii="Times New Roman" w:eastAsia="仿宋_GB2312" w:cs="Times New Roman"/>
          <w:color w:val="auto"/>
          <w:kern w:val="2"/>
          <w:sz w:val="32"/>
          <w:szCs w:val="32"/>
          <w:lang w:val="en-US" w:eastAsia="zh-CN" w:bidi="ar-SA"/>
        </w:rPr>
        <w:t>企业提供便捷有效法治服务</w:t>
      </w:r>
      <w:r>
        <w:rPr>
          <w:rFonts w:hint="eastAsia" w:ascii="Times New Roman" w:eastAsia="仿宋_GB2312" w:cs="Times New Roman"/>
          <w:color w:val="auto"/>
          <w:kern w:val="2"/>
          <w:sz w:val="32"/>
          <w:szCs w:val="32"/>
          <w:lang w:val="en-US" w:eastAsia="zh-CN" w:bidi="ar-SA"/>
        </w:rPr>
        <w:t>。搭建检企“一对一”服务模式，常态化上门送法，</w:t>
      </w:r>
      <w:r>
        <w:rPr>
          <w:rFonts w:hint="eastAsia" w:ascii="Times New Roman" w:hAnsi="Times New Roman" w:eastAsia="仿宋_GB2312" w:cs="Times New Roman"/>
          <w:color w:val="auto"/>
          <w:kern w:val="2"/>
          <w:sz w:val="32"/>
          <w:szCs w:val="32"/>
          <w:lang w:val="en-US" w:eastAsia="zh-CN" w:bidi="ar-SA"/>
        </w:rPr>
        <w:t>院领导、检察官深入企业走访调研、对接</w:t>
      </w:r>
      <w:r>
        <w:rPr>
          <w:rFonts w:hint="eastAsia" w:ascii="Times New Roman" w:hAnsi="Times New Roman" w:eastAsia="仿宋_GB2312" w:cs="Times New Roman"/>
          <w:color w:val="auto"/>
          <w:kern w:val="2"/>
          <w:sz w:val="32"/>
          <w:szCs w:val="32"/>
          <w:highlight w:val="none"/>
          <w:lang w:val="en-US" w:eastAsia="zh-CN" w:bidi="ar-SA"/>
        </w:rPr>
        <w:t>服务</w:t>
      </w:r>
      <w:r>
        <w:rPr>
          <w:rFonts w:hint="eastAsia" w:ascii="Times New Roman" w:eastAsia="仿宋_GB2312" w:cs="Times New Roman"/>
          <w:color w:val="auto"/>
          <w:kern w:val="2"/>
          <w:sz w:val="32"/>
          <w:szCs w:val="32"/>
          <w:highlight w:val="none"/>
          <w:lang w:val="en-US" w:eastAsia="zh-CN" w:bidi="ar-SA"/>
        </w:rPr>
        <w:t>32</w:t>
      </w:r>
      <w:r>
        <w:rPr>
          <w:rFonts w:hint="eastAsia" w:ascii="Times New Roman" w:hAnsi="Times New Roman" w:eastAsia="仿宋_GB2312" w:cs="Times New Roman"/>
          <w:color w:val="auto"/>
          <w:kern w:val="2"/>
          <w:sz w:val="32"/>
          <w:szCs w:val="32"/>
          <w:highlight w:val="none"/>
          <w:lang w:val="en-US" w:eastAsia="zh-CN" w:bidi="ar-SA"/>
        </w:rPr>
        <w:t>次</w:t>
      </w:r>
      <w:r>
        <w:rPr>
          <w:rFonts w:hint="eastAsia" w:ascii="Times New Roman" w:hAnsi="Times New Roman" w:eastAsia="仿宋_GB2312" w:cs="Times New Roman"/>
          <w:color w:val="auto"/>
          <w:kern w:val="2"/>
          <w:sz w:val="32"/>
          <w:szCs w:val="32"/>
          <w:lang w:val="en-US" w:eastAsia="zh-CN" w:bidi="ar-SA"/>
        </w:rPr>
        <w:t>。开通</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涉企信访绿色通道，畅通</w:t>
      </w:r>
      <w:r>
        <w:rPr>
          <w:rFonts w:hint="eastAsia" w:ascii="Times New Roman" w:eastAsia="仿宋_GB2312" w:cs="Times New Roman"/>
          <w:i w:val="0"/>
          <w:caps w:val="0"/>
          <w:color w:val="auto"/>
          <w:spacing w:val="0"/>
          <w:kern w:val="0"/>
          <w:sz w:val="32"/>
          <w:szCs w:val="32"/>
          <w:shd w:val="clear" w:color="auto" w:fill="FFFFFF"/>
          <w:lang w:val="en-US" w:eastAsia="zh-CN" w:bidi="ar"/>
        </w:rPr>
        <w:t>民企</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反映问题和诉求表达渠道</w:t>
      </w:r>
      <w:r>
        <w:rPr>
          <w:rFonts w:hint="eastAsia" w:ascii="Times New Roman" w:eastAsia="仿宋_GB2312" w:cs="Times New Roman"/>
          <w:i w:val="0"/>
          <w:caps w:val="0"/>
          <w:color w:val="auto"/>
          <w:spacing w:val="0"/>
          <w:kern w:val="0"/>
          <w:sz w:val="32"/>
          <w:szCs w:val="32"/>
          <w:shd w:val="clear" w:color="auto" w:fill="FFFFFF"/>
          <w:lang w:val="en-US" w:eastAsia="zh-CN" w:bidi="ar"/>
        </w:rPr>
        <w:t>，院领导包案化解立案监督案件1件。</w:t>
      </w:r>
    </w:p>
    <w:p w14:paraId="1C7F246C">
      <w:pPr>
        <w:pStyle w:val="9"/>
        <w:keepNext w:val="0"/>
        <w:keepLines w:val="0"/>
        <w:pageBreakBefore w:val="0"/>
        <w:widowControl w:val="0"/>
        <w:kinsoku/>
        <w:wordWrap/>
        <w:overflowPunct/>
        <w:topLinePunct w:val="0"/>
        <w:bidi w:val="0"/>
        <w:spacing w:line="560" w:lineRule="exact"/>
        <w:ind w:firstLine="643" w:firstLineChars="200"/>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b/>
          <w:bCs/>
          <w:color w:val="auto"/>
          <w:kern w:val="2"/>
          <w:sz w:val="32"/>
          <w:szCs w:val="32"/>
          <w:lang w:val="en-US" w:eastAsia="zh-CN" w:bidi="ar-SA"/>
        </w:rPr>
        <w:t>三是</w:t>
      </w:r>
      <w:r>
        <w:rPr>
          <w:rFonts w:hint="eastAsia" w:ascii="Times New Roman" w:eastAsia="仿宋_GB2312" w:cs="Times New Roman"/>
          <w:b/>
          <w:bCs/>
          <w:color w:val="auto"/>
          <w:kern w:val="2"/>
          <w:sz w:val="32"/>
          <w:szCs w:val="32"/>
          <w:lang w:val="en-US" w:eastAsia="zh-CN" w:bidi="ar-SA"/>
        </w:rPr>
        <w:t>深入推动区域</w:t>
      </w:r>
      <w:r>
        <w:rPr>
          <w:rFonts w:hint="eastAsia" w:ascii="Times New Roman" w:hAnsi="Times New Roman" w:eastAsia="仿宋_GB2312" w:cs="Times New Roman"/>
          <w:b/>
          <w:bCs/>
          <w:color w:val="auto"/>
          <w:kern w:val="2"/>
          <w:sz w:val="32"/>
          <w:szCs w:val="32"/>
          <w:lang w:val="en-US" w:eastAsia="zh-CN" w:bidi="ar-SA"/>
        </w:rPr>
        <w:t>社会治理。</w:t>
      </w:r>
      <w:r>
        <w:rPr>
          <w:rFonts w:hint="eastAsia" w:ascii="Times New Roman" w:hAnsi="Times New Roman" w:eastAsia="仿宋_GB2312" w:cs="Times New Roman"/>
          <w:color w:val="auto"/>
          <w:kern w:val="2"/>
          <w:sz w:val="32"/>
          <w:szCs w:val="32"/>
          <w:lang w:val="en-US" w:eastAsia="zh-CN" w:bidi="ar-SA"/>
        </w:rPr>
        <w:t>深化</w:t>
      </w:r>
      <w:r>
        <w:rPr>
          <w:rFonts w:hint="eastAsia" w:ascii="Times New Roman" w:eastAsia="仿宋_GB2312" w:cs="Times New Roman"/>
          <w:color w:val="auto"/>
          <w:kern w:val="2"/>
          <w:sz w:val="32"/>
          <w:szCs w:val="32"/>
          <w:lang w:val="en-US" w:eastAsia="zh-CN" w:bidi="ar-SA"/>
        </w:rPr>
        <w:t>跨区域协作</w:t>
      </w:r>
      <w:r>
        <w:rPr>
          <w:rFonts w:hint="eastAsia" w:ascii="Times New Roman" w:hAnsi="Times New Roman" w:eastAsia="仿宋_GB2312" w:cs="Times New Roman"/>
          <w:color w:val="auto"/>
          <w:kern w:val="2"/>
          <w:sz w:val="32"/>
          <w:szCs w:val="32"/>
          <w:lang w:val="en-US" w:eastAsia="zh-CN" w:bidi="ar-SA"/>
        </w:rPr>
        <w:t>，</w:t>
      </w:r>
      <w:r>
        <w:rPr>
          <w:rFonts w:hint="eastAsia" w:ascii="Times New Roman" w:eastAsia="仿宋_GB2312" w:cs="Times New Roman"/>
          <w:color w:val="auto"/>
          <w:kern w:val="2"/>
          <w:sz w:val="32"/>
          <w:szCs w:val="32"/>
          <w:lang w:val="en-US" w:eastAsia="zh-CN" w:bidi="ar-SA"/>
        </w:rPr>
        <w:t>加强与江宁区检察院互学共鉴，</w:t>
      </w:r>
      <w:r>
        <w:rPr>
          <w:rFonts w:hint="eastAsia" w:ascii="Times New Roman" w:hAnsi="Times New Roman" w:eastAsia="仿宋_GB2312" w:cs="Times New Roman"/>
          <w:color w:val="auto"/>
          <w:kern w:val="2"/>
          <w:sz w:val="32"/>
          <w:szCs w:val="32"/>
          <w:lang w:val="en-US" w:eastAsia="zh-CN" w:bidi="ar-SA"/>
        </w:rPr>
        <w:t>与溧水</w:t>
      </w:r>
      <w:r>
        <w:rPr>
          <w:rFonts w:hint="eastAsia" w:ascii="Times New Roman" w:eastAsia="仿宋_GB2312" w:cs="Times New Roman"/>
          <w:color w:val="auto"/>
          <w:kern w:val="2"/>
          <w:sz w:val="32"/>
          <w:szCs w:val="32"/>
          <w:lang w:val="en-US" w:eastAsia="zh-CN" w:bidi="ar-SA"/>
        </w:rPr>
        <w:t>区</w:t>
      </w:r>
      <w:r>
        <w:rPr>
          <w:rFonts w:hint="eastAsia" w:ascii="Times New Roman" w:hAnsi="Times New Roman" w:eastAsia="仿宋_GB2312" w:cs="Times New Roman"/>
          <w:color w:val="auto"/>
          <w:kern w:val="2"/>
          <w:sz w:val="32"/>
          <w:szCs w:val="32"/>
          <w:lang w:val="en-US" w:eastAsia="zh-CN" w:bidi="ar-SA"/>
        </w:rPr>
        <w:t>检察院</w:t>
      </w:r>
      <w:r>
        <w:rPr>
          <w:rFonts w:hint="eastAsia" w:ascii="Times New Roman" w:eastAsia="仿宋_GB2312" w:cs="Times New Roman"/>
          <w:color w:val="auto"/>
          <w:kern w:val="2"/>
          <w:sz w:val="32"/>
          <w:szCs w:val="32"/>
          <w:lang w:val="en-US" w:eastAsia="zh-CN" w:bidi="ar-SA"/>
        </w:rPr>
        <w:t>签订</w:t>
      </w:r>
      <w:r>
        <w:rPr>
          <w:rFonts w:hint="eastAsia" w:ascii="Times New Roman" w:hAnsi="Times New Roman" w:eastAsia="仿宋_GB2312" w:cs="Times New Roman"/>
          <w:color w:val="auto"/>
          <w:kern w:val="2"/>
          <w:sz w:val="32"/>
          <w:szCs w:val="32"/>
          <w:lang w:val="en-US" w:eastAsia="zh-CN" w:bidi="ar-SA"/>
        </w:rPr>
        <w:t>框架协议</w:t>
      </w:r>
      <w:r>
        <w:rPr>
          <w:rFonts w:hint="eastAsia" w:ascii="Times New Roman" w:eastAsia="仿宋_GB2312" w:cs="Times New Roman"/>
          <w:color w:val="auto"/>
          <w:kern w:val="2"/>
          <w:sz w:val="32"/>
          <w:szCs w:val="32"/>
          <w:lang w:val="en-US" w:eastAsia="zh-CN" w:bidi="ar-SA"/>
        </w:rPr>
        <w:t>，推动省际毗邻地区社会治理检察协作。持续深化府检联动，</w:t>
      </w:r>
      <w:r>
        <w:rPr>
          <w:rFonts w:hint="eastAsia" w:ascii="Times New Roman" w:hAnsi="Times New Roman" w:eastAsia="仿宋_GB2312" w:cs="Times New Roman"/>
          <w:color w:val="auto"/>
          <w:kern w:val="2"/>
          <w:sz w:val="32"/>
          <w:szCs w:val="32"/>
          <w:lang w:val="en-US" w:eastAsia="zh-CN" w:bidi="ar-SA"/>
        </w:rPr>
        <w:t>健全完善行刑衔接工作机制，建议行政机关移送案件线索2件。依法规范适用认罪认罚从宽制度，认罪认罚</w:t>
      </w:r>
      <w:r>
        <w:rPr>
          <w:rFonts w:hint="eastAsia" w:ascii="Times New Roman" w:eastAsia="仿宋_GB2312" w:cs="Times New Roman"/>
          <w:color w:val="auto"/>
          <w:kern w:val="2"/>
          <w:sz w:val="32"/>
          <w:szCs w:val="32"/>
          <w:lang w:val="en-US" w:eastAsia="zh-CN" w:bidi="ar-SA"/>
        </w:rPr>
        <w:t>适</w:t>
      </w:r>
      <w:r>
        <w:rPr>
          <w:rFonts w:hint="eastAsia" w:ascii="Times New Roman" w:hAnsi="Times New Roman" w:eastAsia="仿宋_GB2312" w:cs="Times New Roman"/>
          <w:color w:val="auto"/>
          <w:kern w:val="2"/>
          <w:sz w:val="32"/>
          <w:szCs w:val="32"/>
          <w:lang w:val="en-US" w:eastAsia="zh-CN" w:bidi="ar-SA"/>
        </w:rPr>
        <w:t>用率达</w:t>
      </w:r>
      <w:r>
        <w:rPr>
          <w:rFonts w:hint="eastAsia" w:ascii="Times New Roman" w:eastAsia="仿宋_GB2312" w:cs="Times New Roman"/>
          <w:color w:val="auto"/>
          <w:kern w:val="2"/>
          <w:sz w:val="32"/>
          <w:szCs w:val="32"/>
          <w:lang w:val="en-US" w:eastAsia="zh-CN" w:bidi="ar-SA"/>
        </w:rPr>
        <w:t>90.3</w:t>
      </w:r>
      <w:r>
        <w:rPr>
          <w:rFonts w:hint="eastAsia" w:ascii="Times New Roman" w:hAnsi="Times New Roman" w:eastAsia="仿宋_GB2312" w:cs="Times New Roman"/>
          <w:color w:val="auto"/>
          <w:kern w:val="2"/>
          <w:sz w:val="32"/>
          <w:szCs w:val="32"/>
          <w:lang w:val="en-US" w:eastAsia="zh-CN" w:bidi="ar-SA"/>
        </w:rPr>
        <w:t>%</w:t>
      </w:r>
      <w:r>
        <w:rPr>
          <w:rFonts w:hint="eastAsia" w:ascii="Times New Roman" w:eastAsia="仿宋_GB2312" w:cs="Times New Roman"/>
          <w:color w:val="auto"/>
          <w:kern w:val="2"/>
          <w:sz w:val="32"/>
          <w:szCs w:val="32"/>
          <w:lang w:val="en-US" w:eastAsia="zh-CN" w:bidi="ar-SA"/>
        </w:rPr>
        <w:t>，确定刑量刑建议采纳率100%</w:t>
      </w:r>
      <w:r>
        <w:rPr>
          <w:rFonts w:hint="eastAsia" w:ascii="Times New Roman" w:hAnsi="Times New Roman" w:eastAsia="仿宋_GB2312" w:cs="Times New Roman"/>
          <w:color w:val="auto"/>
          <w:kern w:val="2"/>
          <w:sz w:val="32"/>
          <w:szCs w:val="32"/>
          <w:lang w:val="en-US" w:eastAsia="zh-CN" w:bidi="ar-SA"/>
        </w:rPr>
        <w:t>。</w:t>
      </w:r>
      <w:r>
        <w:rPr>
          <w:rFonts w:hint="eastAsia" w:ascii="Times New Roman" w:eastAsia="仿宋_GB2312" w:cs="Times New Roman"/>
          <w:color w:val="auto"/>
          <w:kern w:val="2"/>
          <w:sz w:val="32"/>
          <w:szCs w:val="32"/>
          <w:lang w:val="en-US" w:eastAsia="zh-CN" w:bidi="ar-SA"/>
        </w:rPr>
        <w:t>全面准确落实宽严相济刑事政策</w:t>
      </w:r>
      <w:r>
        <w:rPr>
          <w:rFonts w:hint="eastAsia" w:ascii="Times New Roman" w:hAnsi="Times New Roman" w:eastAsia="仿宋_GB2312" w:cs="Times New Roman"/>
          <w:color w:val="auto"/>
          <w:kern w:val="2"/>
          <w:sz w:val="32"/>
          <w:szCs w:val="32"/>
          <w:lang w:val="en-US" w:eastAsia="zh-CN" w:bidi="ar-SA"/>
        </w:rPr>
        <w:t>，依法</w:t>
      </w:r>
      <w:r>
        <w:rPr>
          <w:rFonts w:hint="eastAsia" w:ascii="Times New Roman" w:eastAsia="仿宋_GB2312" w:cs="Times New Roman"/>
          <w:color w:val="auto"/>
          <w:kern w:val="2"/>
          <w:sz w:val="32"/>
          <w:szCs w:val="32"/>
          <w:lang w:val="en-US" w:eastAsia="zh-CN" w:bidi="ar-SA"/>
        </w:rPr>
        <w:t>不起诉27人</w:t>
      </w:r>
      <w:r>
        <w:rPr>
          <w:rFonts w:hint="eastAsia" w:ascii="Times New Roman" w:hAnsi="Times New Roman" w:eastAsia="仿宋_GB2312" w:cs="Times New Roman"/>
          <w:color w:val="auto"/>
          <w:kern w:val="2"/>
          <w:sz w:val="32"/>
          <w:szCs w:val="32"/>
          <w:lang w:val="en-US" w:eastAsia="zh-CN" w:bidi="ar-SA"/>
        </w:rPr>
        <w:t>。</w:t>
      </w:r>
      <w:r>
        <w:rPr>
          <w:rFonts w:hint="eastAsia" w:ascii="Times New Roman" w:eastAsia="仿宋_GB2312" w:cs="Times New Roman"/>
          <w:color w:val="auto"/>
          <w:kern w:val="2"/>
          <w:sz w:val="32"/>
          <w:szCs w:val="32"/>
          <w:lang w:val="en-US" w:eastAsia="zh-CN" w:bidi="ar-SA"/>
        </w:rPr>
        <w:t>运用</w:t>
      </w:r>
      <w:r>
        <w:rPr>
          <w:rFonts w:hint="eastAsia" w:ascii="Times New Roman" w:hAnsi="Times New Roman" w:eastAsia="仿宋_GB2312" w:cs="Times New Roman"/>
          <w:color w:val="auto"/>
          <w:kern w:val="2"/>
          <w:sz w:val="32"/>
          <w:szCs w:val="32"/>
          <w:lang w:val="en-US" w:eastAsia="zh-CN" w:bidi="ar-SA"/>
        </w:rPr>
        <w:t>检察建议提升社会治理效能，针对监督办案中发现的普遍性、苗头性问题，制发社会治理类检察建议4件。</w:t>
      </w:r>
    </w:p>
    <w:p w14:paraId="48356D25">
      <w:pPr>
        <w:pStyle w:val="9"/>
        <w:keepNext w:val="0"/>
        <w:keepLines w:val="0"/>
        <w:pageBreakBefore w:val="0"/>
        <w:widowControl w:val="0"/>
        <w:kinsoku/>
        <w:wordWrap/>
        <w:overflowPunct/>
        <w:topLinePunct w:val="0"/>
        <w:bidi w:val="0"/>
        <w:spacing w:line="560" w:lineRule="exact"/>
        <w:ind w:firstLine="640" w:firstLineChars="20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二、坚持人民至上，聚力保障高品质民生</w:t>
      </w:r>
    </w:p>
    <w:p w14:paraId="0D20AE68">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仿宋_GB2312" w:cs="Times New Roman"/>
          <w:color w:val="auto"/>
          <w:kern w:val="2"/>
          <w:sz w:val="32"/>
          <w:szCs w:val="32"/>
          <w:highlight w:val="yellow"/>
          <w:lang w:val="en-US" w:eastAsia="zh-CN" w:bidi="ar-SA"/>
        </w:rPr>
      </w:pPr>
      <w:r>
        <w:rPr>
          <w:rFonts w:hint="eastAsia" w:ascii="Times New Roman" w:hAnsi="Times New Roman" w:eastAsia="仿宋_GB2312" w:cs="Times New Roman"/>
          <w:b/>
          <w:bCs/>
          <w:color w:val="auto"/>
          <w:kern w:val="2"/>
          <w:sz w:val="32"/>
          <w:szCs w:val="32"/>
          <w:lang w:val="en-US" w:eastAsia="zh-CN" w:bidi="ar-SA"/>
        </w:rPr>
        <w:t>一是</w:t>
      </w:r>
      <w:r>
        <w:rPr>
          <w:rFonts w:hint="eastAsia" w:ascii="Times New Roman" w:eastAsia="仿宋_GB2312" w:cs="Times New Roman"/>
          <w:b/>
          <w:bCs/>
          <w:color w:val="auto"/>
          <w:kern w:val="2"/>
          <w:sz w:val="32"/>
          <w:szCs w:val="32"/>
          <w:lang w:val="en-US" w:eastAsia="zh-CN" w:bidi="ar-SA"/>
        </w:rPr>
        <w:t>尽心守护特殊</w:t>
      </w:r>
      <w:r>
        <w:rPr>
          <w:rFonts w:hint="eastAsia" w:ascii="Times New Roman" w:hAnsi="Times New Roman" w:eastAsia="仿宋_GB2312" w:cs="Times New Roman"/>
          <w:b/>
          <w:bCs/>
          <w:color w:val="auto"/>
          <w:kern w:val="2"/>
          <w:sz w:val="32"/>
          <w:szCs w:val="32"/>
          <w:lang w:val="en-US" w:eastAsia="zh-CN" w:bidi="ar-SA"/>
        </w:rPr>
        <w:t>群体合法权益。</w:t>
      </w:r>
      <w:r>
        <w:rPr>
          <w:rFonts w:hint="eastAsia" w:ascii="Times New Roman" w:hAnsi="Times New Roman" w:eastAsia="仿宋_GB2312" w:cs="Times New Roman"/>
          <w:b w:val="0"/>
          <w:bCs w:val="0"/>
          <w:color w:val="auto"/>
          <w:kern w:val="2"/>
          <w:sz w:val="32"/>
          <w:szCs w:val="32"/>
          <w:lang w:val="en-US" w:eastAsia="zh-CN" w:bidi="ar-SA"/>
        </w:rPr>
        <w:t>深入推进“检护民生”专项行动，精准对接人民群众所需所盼。</w:t>
      </w:r>
      <w:r>
        <w:rPr>
          <w:rFonts w:hint="eastAsia" w:ascii="Times New Roman" w:hAnsi="Times New Roman" w:eastAsia="仿宋_GB2312" w:cs="Times New Roman"/>
          <w:color w:val="auto"/>
          <w:kern w:val="2"/>
          <w:sz w:val="32"/>
          <w:szCs w:val="32"/>
          <w:lang w:val="en-US" w:eastAsia="zh-CN" w:bidi="ar-SA"/>
        </w:rPr>
        <w:t>充分发挥民事支持起诉职能保障劳动者合法权益，帮助农民工追索薪资300余万元。</w:t>
      </w:r>
      <w:r>
        <w:rPr>
          <w:rFonts w:hint="eastAsia" w:ascii="Times New Roman" w:eastAsia="仿宋_GB2312" w:cs="Times New Roman"/>
          <w:color w:val="auto"/>
          <w:kern w:val="2"/>
          <w:sz w:val="32"/>
          <w:szCs w:val="32"/>
          <w:lang w:val="en-US" w:eastAsia="zh-CN" w:bidi="ar-SA"/>
        </w:rPr>
        <w:t>深化老年人权益保护，</w:t>
      </w:r>
      <w:r>
        <w:rPr>
          <w:rFonts w:hint="eastAsia" w:ascii="Times New Roman" w:hAnsi="Times New Roman" w:eastAsia="仿宋_GB2312" w:cs="Times New Roman"/>
          <w:color w:val="auto"/>
          <w:kern w:val="2"/>
          <w:sz w:val="32"/>
          <w:szCs w:val="32"/>
          <w:lang w:val="en-US" w:eastAsia="zh-CN" w:bidi="ar-SA"/>
        </w:rPr>
        <w:t>针对</w:t>
      </w:r>
      <w:r>
        <w:rPr>
          <w:rFonts w:hint="eastAsia" w:ascii="Times New Roman" w:eastAsia="仿宋_GB2312" w:cs="Times New Roman"/>
          <w:color w:val="auto"/>
          <w:kern w:val="2"/>
          <w:sz w:val="32"/>
          <w:szCs w:val="32"/>
          <w:lang w:val="en-US" w:eastAsia="zh-CN" w:bidi="ar-SA"/>
        </w:rPr>
        <w:t>辖区养老</w:t>
      </w:r>
      <w:r>
        <w:rPr>
          <w:rFonts w:hint="eastAsia" w:ascii="Times New Roman" w:hAnsi="Times New Roman" w:eastAsia="仿宋_GB2312" w:cs="Times New Roman"/>
          <w:color w:val="auto"/>
          <w:kern w:val="2"/>
          <w:sz w:val="32"/>
          <w:szCs w:val="32"/>
          <w:lang w:val="en-US" w:eastAsia="zh-CN" w:bidi="ar-SA"/>
        </w:rPr>
        <w:t>机构</w:t>
      </w:r>
      <w:r>
        <w:rPr>
          <w:rFonts w:hint="eastAsia" w:ascii="Times New Roman" w:eastAsia="仿宋_GB2312" w:cs="Times New Roman"/>
          <w:color w:val="auto"/>
          <w:kern w:val="2"/>
          <w:sz w:val="32"/>
          <w:szCs w:val="32"/>
          <w:lang w:val="en-US" w:eastAsia="zh-CN" w:bidi="ar-SA"/>
        </w:rPr>
        <w:t>存在的</w:t>
      </w:r>
      <w:r>
        <w:rPr>
          <w:rFonts w:hint="eastAsia" w:ascii="Times New Roman" w:hAnsi="Times New Roman" w:eastAsia="仿宋_GB2312" w:cs="Times New Roman"/>
          <w:color w:val="auto"/>
          <w:kern w:val="2"/>
          <w:sz w:val="32"/>
          <w:szCs w:val="32"/>
          <w:lang w:val="en-US" w:eastAsia="zh-CN" w:bidi="ar-SA"/>
        </w:rPr>
        <w:t>食品安全等问题</w:t>
      </w:r>
      <w:r>
        <w:rPr>
          <w:rFonts w:hint="eastAsia" w:ascii="Times New Roman" w:eastAsia="仿宋_GB2312" w:cs="Times New Roman"/>
          <w:color w:val="auto"/>
          <w:kern w:val="2"/>
          <w:sz w:val="32"/>
          <w:szCs w:val="32"/>
          <w:lang w:val="en-US" w:eastAsia="zh-CN" w:bidi="ar-SA"/>
        </w:rPr>
        <w:t>，</w:t>
      </w:r>
      <w:r>
        <w:rPr>
          <w:rFonts w:hint="eastAsia" w:ascii="Times New Roman" w:hAnsi="Times New Roman" w:eastAsia="仿宋_GB2312" w:cs="Times New Roman"/>
          <w:color w:val="auto"/>
          <w:kern w:val="2"/>
          <w:sz w:val="32"/>
          <w:szCs w:val="32"/>
          <w:lang w:val="en-US" w:eastAsia="zh-CN" w:bidi="ar-SA"/>
        </w:rPr>
        <w:t>制发检察建议2</w:t>
      </w:r>
      <w:r>
        <w:rPr>
          <w:rFonts w:hint="eastAsia" w:ascii="Times New Roman" w:eastAsia="仿宋_GB2312" w:cs="Times New Roman"/>
          <w:color w:val="auto"/>
          <w:kern w:val="2"/>
          <w:sz w:val="32"/>
          <w:szCs w:val="32"/>
          <w:lang w:val="en-US" w:eastAsia="zh-CN" w:bidi="ar-SA"/>
        </w:rPr>
        <w:t>件，</w:t>
      </w:r>
      <w:r>
        <w:rPr>
          <w:rFonts w:hint="eastAsia" w:ascii="Times New Roman" w:hAnsi="Times New Roman" w:eastAsia="仿宋_GB2312" w:cs="Times New Roman"/>
          <w:color w:val="auto"/>
          <w:kern w:val="2"/>
          <w:sz w:val="32"/>
          <w:szCs w:val="32"/>
          <w:lang w:val="en-US" w:eastAsia="zh-CN" w:bidi="ar-SA"/>
        </w:rPr>
        <w:t>督促整治养老行业风险隐患。积极开展无障碍环境建设领域专项监督活动，</w:t>
      </w:r>
      <w:r>
        <w:rPr>
          <w:rFonts w:hint="eastAsia" w:hAnsi="Times New Roman" w:eastAsia="仿宋_GB2312" w:cs="Times New Roman"/>
          <w:sz w:val="32"/>
          <w:szCs w:val="32"/>
        </w:rPr>
        <w:t>针对</w:t>
      </w:r>
      <w:r>
        <w:rPr>
          <w:rFonts w:hint="eastAsia" w:hAnsi="Times New Roman" w:eastAsia="仿宋_GB2312" w:cs="Times New Roman"/>
          <w:sz w:val="32"/>
          <w:szCs w:val="32"/>
          <w:lang w:val="en-US" w:eastAsia="zh-CN"/>
        </w:rPr>
        <w:t>无障碍停车位设置不规范问题</w:t>
      </w:r>
      <w:r>
        <w:rPr>
          <w:rFonts w:hint="eastAsia" w:hAnsi="Times New Roman" w:eastAsia="仿宋_GB2312" w:cs="Times New Roman"/>
          <w:sz w:val="32"/>
          <w:szCs w:val="32"/>
        </w:rPr>
        <w:t>，</w:t>
      </w:r>
      <w:r>
        <w:rPr>
          <w:rFonts w:hint="eastAsia" w:ascii="Times New Roman" w:hAnsi="Times New Roman" w:eastAsia="仿宋_GB2312" w:cs="Times New Roman"/>
          <w:color w:val="auto"/>
          <w:kern w:val="2"/>
          <w:sz w:val="32"/>
          <w:szCs w:val="32"/>
          <w:lang w:val="en-US" w:eastAsia="zh-CN" w:bidi="ar-SA"/>
        </w:rPr>
        <w:t>制发检察建议2件，</w:t>
      </w:r>
      <w:r>
        <w:rPr>
          <w:rFonts w:hint="eastAsia" w:ascii="Times New Roman" w:eastAsia="仿宋_GB2312" w:cs="Times New Roman"/>
          <w:color w:val="auto"/>
          <w:kern w:val="2"/>
          <w:sz w:val="32"/>
          <w:szCs w:val="32"/>
          <w:lang w:val="en-US" w:eastAsia="zh-CN" w:bidi="ar-SA"/>
        </w:rPr>
        <w:t>为残障人士合法权益保驾护航</w:t>
      </w:r>
      <w:r>
        <w:rPr>
          <w:rFonts w:hint="eastAsia" w:ascii="Times New Roman" w:hAnsi="Times New Roman" w:eastAsia="仿宋_GB2312" w:cs="Times New Roman"/>
          <w:color w:val="auto"/>
          <w:kern w:val="2"/>
          <w:sz w:val="32"/>
          <w:szCs w:val="32"/>
          <w:highlight w:val="none"/>
          <w:lang w:val="en-US" w:eastAsia="zh-CN" w:bidi="ar-SA"/>
        </w:rPr>
        <w:t>。与妇联、人社局共同构建多元综合救助新模式，加强对生活困难当事人等重点群体司法救助，做到应救尽救、应救即救，全年发放救助金11余万元。</w:t>
      </w:r>
    </w:p>
    <w:p w14:paraId="5049BCDC">
      <w:pPr>
        <w:pStyle w:val="9"/>
        <w:keepNext w:val="0"/>
        <w:keepLines w:val="0"/>
        <w:pageBreakBefore w:val="0"/>
        <w:widowControl w:val="0"/>
        <w:kinsoku/>
        <w:wordWrap/>
        <w:overflowPunct/>
        <w:topLinePunct w:val="0"/>
        <w:bidi w:val="0"/>
        <w:spacing w:line="560" w:lineRule="exact"/>
        <w:ind w:firstLine="643" w:firstLineChars="200"/>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Calibri" w:eastAsia="仿宋_GB2312" w:cs="Times New Roman"/>
          <w:b/>
          <w:bCs/>
          <w:color w:val="auto"/>
          <w:kern w:val="2"/>
          <w:sz w:val="32"/>
          <w:szCs w:val="32"/>
          <w:lang w:val="en-US" w:eastAsia="zh-CN" w:bidi="ar-SA"/>
        </w:rPr>
        <w:t>二是倾力做实未成年人综合保护。</w:t>
      </w:r>
      <w:r>
        <w:rPr>
          <w:rFonts w:hint="eastAsia" w:ascii="Times New Roman" w:hAnsi="Times New Roman" w:eastAsia="仿宋_GB2312" w:cs="Times New Roman"/>
          <w:color w:val="auto"/>
          <w:kern w:val="2"/>
          <w:sz w:val="32"/>
          <w:szCs w:val="32"/>
          <w:lang w:val="en-US" w:eastAsia="zh-CN" w:bidi="ar-SA"/>
        </w:rPr>
        <w:t>积极回应未成年人保护司法需求，对侵害未成年人犯罪行为保持“零容忍”，依法</w:t>
      </w:r>
      <w:r>
        <w:rPr>
          <w:rFonts w:hint="eastAsia" w:ascii="Times New Roman" w:eastAsia="仿宋_GB2312" w:cs="Times New Roman"/>
          <w:color w:val="auto"/>
          <w:kern w:val="2"/>
          <w:sz w:val="32"/>
          <w:szCs w:val="32"/>
          <w:lang w:val="en-US" w:eastAsia="zh-CN" w:bidi="ar-SA"/>
        </w:rPr>
        <w:t>办理</w:t>
      </w:r>
      <w:r>
        <w:rPr>
          <w:rFonts w:hint="eastAsia" w:ascii="Times New Roman" w:hAnsi="Times New Roman" w:eastAsia="仿宋_GB2312" w:cs="Times New Roman"/>
          <w:color w:val="auto"/>
          <w:kern w:val="2"/>
          <w:sz w:val="32"/>
          <w:szCs w:val="32"/>
          <w:lang w:val="en-US" w:eastAsia="zh-CN" w:bidi="ar-SA"/>
        </w:rPr>
        <w:t>批捕</w:t>
      </w:r>
      <w:r>
        <w:rPr>
          <w:rFonts w:hint="eastAsia" w:ascii="Times New Roman" w:eastAsia="仿宋_GB2312" w:cs="Times New Roman"/>
          <w:color w:val="auto"/>
          <w:kern w:val="2"/>
          <w:sz w:val="32"/>
          <w:szCs w:val="32"/>
          <w:lang w:val="en-US" w:eastAsia="zh-CN" w:bidi="ar-SA"/>
        </w:rPr>
        <w:t>案件6件</w:t>
      </w:r>
      <w:r>
        <w:rPr>
          <w:rFonts w:hint="eastAsia" w:ascii="Times New Roman" w:hAnsi="Times New Roman" w:eastAsia="仿宋_GB2312" w:cs="Times New Roman"/>
          <w:color w:val="auto"/>
          <w:kern w:val="2"/>
          <w:sz w:val="32"/>
          <w:szCs w:val="32"/>
          <w:lang w:val="en-US" w:eastAsia="zh-CN" w:bidi="ar-SA"/>
        </w:rPr>
        <w:t>，起诉</w:t>
      </w:r>
      <w:r>
        <w:rPr>
          <w:rFonts w:hint="eastAsia" w:ascii="Times New Roman" w:eastAsia="仿宋_GB2312" w:cs="Times New Roman"/>
          <w:color w:val="auto"/>
          <w:kern w:val="2"/>
          <w:sz w:val="32"/>
          <w:szCs w:val="32"/>
          <w:lang w:val="en-US" w:eastAsia="zh-CN" w:bidi="ar-SA"/>
        </w:rPr>
        <w:t>案件6件</w:t>
      </w:r>
      <w:r>
        <w:rPr>
          <w:rFonts w:hint="eastAsia" w:ascii="Times New Roman" w:hAnsi="Times New Roman" w:eastAsia="仿宋_GB2312" w:cs="Times New Roman"/>
          <w:color w:val="auto"/>
          <w:kern w:val="2"/>
          <w:sz w:val="32"/>
          <w:szCs w:val="32"/>
          <w:lang w:val="en-US" w:eastAsia="zh-CN" w:bidi="ar-SA"/>
        </w:rPr>
        <w:t>。坚持“教育、感化、挽救”政策，对犯罪情节轻微的未成年人</w:t>
      </w:r>
      <w:r>
        <w:rPr>
          <w:rFonts w:hint="eastAsia" w:ascii="Times New Roman" w:eastAsia="仿宋_GB2312" w:cs="Times New Roman"/>
          <w:color w:val="auto"/>
          <w:kern w:val="2"/>
          <w:sz w:val="32"/>
          <w:szCs w:val="32"/>
          <w:lang w:val="en-US" w:eastAsia="zh-CN" w:bidi="ar-SA"/>
        </w:rPr>
        <w:t>依法适用</w:t>
      </w:r>
      <w:r>
        <w:rPr>
          <w:rFonts w:hint="eastAsia" w:ascii="Times New Roman" w:hAnsi="Times New Roman" w:eastAsia="仿宋_GB2312" w:cs="Times New Roman"/>
          <w:color w:val="auto"/>
          <w:kern w:val="2"/>
          <w:sz w:val="32"/>
          <w:szCs w:val="32"/>
          <w:lang w:val="en-US" w:eastAsia="zh-CN" w:bidi="ar-SA"/>
        </w:rPr>
        <w:t>不起诉</w:t>
      </w:r>
      <w:r>
        <w:rPr>
          <w:rFonts w:hint="eastAsia" w:ascii="Times New Roman" w:eastAsia="仿宋_GB2312" w:cs="Times New Roman"/>
          <w:color w:val="auto"/>
          <w:kern w:val="2"/>
          <w:sz w:val="32"/>
          <w:szCs w:val="32"/>
          <w:lang w:val="en-US" w:eastAsia="zh-CN" w:bidi="ar-SA"/>
        </w:rPr>
        <w:t>，办理不起诉案件8件</w:t>
      </w:r>
      <w:r>
        <w:rPr>
          <w:rFonts w:hint="eastAsia" w:ascii="Times New Roman" w:hAnsi="Times New Roman" w:eastAsia="仿宋_GB2312" w:cs="Times New Roman"/>
          <w:color w:val="auto"/>
          <w:kern w:val="2"/>
          <w:sz w:val="32"/>
          <w:szCs w:val="32"/>
          <w:lang w:val="en-US" w:eastAsia="zh-CN" w:bidi="ar-SA"/>
        </w:rPr>
        <w:t>。</w:t>
      </w:r>
      <w:r>
        <w:rPr>
          <w:rFonts w:hint="eastAsia" w:ascii="Times New Roman" w:eastAsia="仿宋_GB2312" w:cs="Times New Roman"/>
          <w:color w:val="auto"/>
          <w:kern w:val="2"/>
          <w:sz w:val="32"/>
          <w:szCs w:val="32"/>
          <w:lang w:val="en-US" w:eastAsia="zh-CN" w:bidi="ar-SA"/>
        </w:rPr>
        <w:t>提升</w:t>
      </w:r>
      <w:r>
        <w:rPr>
          <w:rFonts w:hint="eastAsia" w:ascii="Times New Roman" w:hAnsi="Times New Roman" w:eastAsia="仿宋_GB2312" w:cs="Times New Roman"/>
          <w:color w:val="auto"/>
          <w:kern w:val="2"/>
          <w:sz w:val="32"/>
          <w:szCs w:val="32"/>
          <w:lang w:val="en-US" w:eastAsia="zh-CN" w:bidi="ar-SA"/>
        </w:rPr>
        <w:t>未成年人综合</w:t>
      </w:r>
      <w:r>
        <w:rPr>
          <w:rFonts w:hint="eastAsia" w:ascii="Times New Roman" w:eastAsia="仿宋_GB2312" w:cs="Times New Roman"/>
          <w:color w:val="auto"/>
          <w:kern w:val="2"/>
          <w:sz w:val="32"/>
          <w:szCs w:val="32"/>
          <w:lang w:val="en-US" w:eastAsia="zh-CN" w:bidi="ar-SA"/>
        </w:rPr>
        <w:t>履职效能</w:t>
      </w:r>
      <w:r>
        <w:rPr>
          <w:rFonts w:hint="eastAsia" w:ascii="Times New Roman" w:hAnsi="Times New Roman" w:eastAsia="仿宋_GB2312" w:cs="Times New Roman"/>
          <w:color w:val="auto"/>
          <w:kern w:val="2"/>
          <w:sz w:val="32"/>
          <w:szCs w:val="32"/>
          <w:highlight w:val="none"/>
          <w:lang w:val="en-US" w:eastAsia="zh-CN" w:bidi="ar-SA"/>
        </w:rPr>
        <w:t>，依法提起民事公益诉讼</w:t>
      </w:r>
      <w:r>
        <w:rPr>
          <w:rFonts w:hint="eastAsia" w:ascii="Times New Roman" w:eastAsia="仿宋_GB2312" w:cs="Times New Roman"/>
          <w:color w:val="auto"/>
          <w:kern w:val="2"/>
          <w:sz w:val="32"/>
          <w:szCs w:val="32"/>
          <w:highlight w:val="none"/>
          <w:lang w:val="en-US" w:eastAsia="zh-CN" w:bidi="ar-SA"/>
        </w:rPr>
        <w:t>1</w:t>
      </w:r>
      <w:r>
        <w:rPr>
          <w:rFonts w:hint="eastAsia" w:ascii="Times New Roman" w:hAnsi="Times New Roman" w:eastAsia="仿宋_GB2312" w:cs="Times New Roman"/>
          <w:color w:val="auto"/>
          <w:kern w:val="2"/>
          <w:sz w:val="32"/>
          <w:szCs w:val="32"/>
          <w:highlight w:val="none"/>
          <w:lang w:val="en-US" w:eastAsia="zh-CN" w:bidi="ar-SA"/>
        </w:rPr>
        <w:t>件</w:t>
      </w:r>
      <w:r>
        <w:rPr>
          <w:rFonts w:hint="eastAsia" w:ascii="Times New Roman" w:eastAsia="仿宋_GB2312" w:cs="Times New Roman"/>
          <w:color w:val="auto"/>
          <w:kern w:val="2"/>
          <w:sz w:val="32"/>
          <w:szCs w:val="32"/>
          <w:highlight w:val="none"/>
          <w:lang w:val="en-US" w:eastAsia="zh-CN" w:bidi="ar-SA"/>
        </w:rPr>
        <w:t>，</w:t>
      </w:r>
      <w:r>
        <w:rPr>
          <w:rFonts w:hint="eastAsia" w:ascii="Times New Roman" w:eastAsia="仿宋_GB2312" w:cs="Times New Roman"/>
          <w:color w:val="auto"/>
          <w:kern w:val="2"/>
          <w:sz w:val="32"/>
          <w:szCs w:val="32"/>
          <w:lang w:val="en-US" w:eastAsia="zh-CN" w:bidi="ar-SA"/>
        </w:rPr>
        <w:t>制发</w:t>
      </w:r>
      <w:r>
        <w:rPr>
          <w:rFonts w:hint="eastAsia" w:ascii="Times New Roman" w:hAnsi="Times New Roman" w:eastAsia="仿宋_GB2312" w:cs="Times New Roman"/>
          <w:color w:val="auto"/>
          <w:kern w:val="2"/>
          <w:sz w:val="32"/>
          <w:szCs w:val="32"/>
          <w:lang w:val="en-US" w:eastAsia="zh-CN" w:bidi="ar-SA"/>
        </w:rPr>
        <w:t>检察建议3件</w:t>
      </w:r>
      <w:r>
        <w:rPr>
          <w:rFonts w:hint="eastAsia" w:ascii="Times New Roman" w:eastAsia="仿宋_GB2312" w:cs="Times New Roman"/>
          <w:color w:val="auto"/>
          <w:kern w:val="2"/>
          <w:sz w:val="32"/>
          <w:szCs w:val="32"/>
          <w:lang w:val="en-US" w:eastAsia="zh-CN" w:bidi="ar-SA"/>
        </w:rPr>
        <w:t>，发出督促监护令、家庭教育指导令20份</w:t>
      </w:r>
      <w:r>
        <w:rPr>
          <w:rFonts w:hint="eastAsia" w:ascii="Times New Roman" w:hAnsi="Times New Roman" w:eastAsia="仿宋_GB2312" w:cs="Times New Roman"/>
          <w:color w:val="auto"/>
          <w:kern w:val="2"/>
          <w:sz w:val="32"/>
          <w:szCs w:val="32"/>
          <w:lang w:val="en-US" w:eastAsia="zh-CN" w:bidi="ar-SA"/>
        </w:rPr>
        <w:t>。推动跨区域</w:t>
      </w:r>
      <w:r>
        <w:rPr>
          <w:rFonts w:hint="eastAsia" w:ascii="Times New Roman" w:eastAsia="仿宋_GB2312" w:cs="Times New Roman"/>
          <w:color w:val="auto"/>
          <w:kern w:val="2"/>
          <w:sz w:val="32"/>
          <w:szCs w:val="32"/>
          <w:lang w:val="en-US" w:eastAsia="zh-CN" w:bidi="ar-SA"/>
        </w:rPr>
        <w:t>司法救助</w:t>
      </w:r>
      <w:r>
        <w:rPr>
          <w:rFonts w:hint="eastAsia" w:ascii="Times New Roman" w:hAnsi="Times New Roman" w:eastAsia="仿宋_GB2312" w:cs="Times New Roman"/>
          <w:color w:val="auto"/>
          <w:kern w:val="2"/>
          <w:sz w:val="32"/>
          <w:szCs w:val="32"/>
          <w:lang w:val="en-US" w:eastAsia="zh-CN" w:bidi="ar-SA"/>
        </w:rPr>
        <w:t>协作机制建设，</w:t>
      </w:r>
      <w:r>
        <w:rPr>
          <w:rFonts w:hint="eastAsia" w:ascii="Times New Roman" w:eastAsia="仿宋_GB2312" w:cs="Times New Roman"/>
          <w:color w:val="auto"/>
          <w:kern w:val="2"/>
          <w:sz w:val="32"/>
          <w:szCs w:val="32"/>
          <w:lang w:val="en-US" w:eastAsia="zh-CN" w:bidi="ar-SA"/>
        </w:rPr>
        <w:t>针对1名未成年人被害人，与河南省</w:t>
      </w:r>
      <w:r>
        <w:rPr>
          <w:rFonts w:hint="eastAsia" w:ascii="Times New Roman" w:hAnsi="Times New Roman" w:eastAsia="仿宋_GB2312" w:cs="Times New Roman"/>
          <w:color w:val="auto"/>
          <w:kern w:val="2"/>
          <w:sz w:val="32"/>
          <w:szCs w:val="32"/>
          <w:lang w:val="en-US" w:eastAsia="zh-CN" w:bidi="ar-SA"/>
        </w:rPr>
        <w:t>洛宁县检察院</w:t>
      </w:r>
      <w:r>
        <w:rPr>
          <w:rFonts w:hint="eastAsia" w:ascii="Times New Roman" w:eastAsia="仿宋_GB2312" w:cs="Times New Roman"/>
          <w:color w:val="auto"/>
          <w:kern w:val="2"/>
          <w:sz w:val="32"/>
          <w:szCs w:val="32"/>
          <w:lang w:val="en-US" w:eastAsia="zh-CN" w:bidi="ar-SA"/>
        </w:rPr>
        <w:t>及</w:t>
      </w:r>
      <w:r>
        <w:rPr>
          <w:rFonts w:hint="eastAsia" w:ascii="Times New Roman" w:hAnsi="Times New Roman" w:eastAsia="仿宋_GB2312" w:cs="Times New Roman"/>
          <w:color w:val="auto"/>
          <w:kern w:val="2"/>
          <w:sz w:val="32"/>
          <w:szCs w:val="32"/>
          <w:lang w:val="en-US" w:eastAsia="zh-CN" w:bidi="ar-SA"/>
        </w:rPr>
        <w:t>当地政府部门开展联合救助行动，帮其解决医疗、教育、生活保障等问题，共发放司法救助金</w:t>
      </w:r>
      <w:r>
        <w:rPr>
          <w:rFonts w:hint="eastAsia" w:ascii="Times New Roman" w:eastAsia="仿宋_GB2312" w:cs="Times New Roman"/>
          <w:color w:val="auto"/>
          <w:kern w:val="2"/>
          <w:sz w:val="32"/>
          <w:szCs w:val="32"/>
          <w:lang w:val="en-US" w:eastAsia="zh-CN" w:bidi="ar-SA"/>
        </w:rPr>
        <w:t>3</w:t>
      </w:r>
      <w:r>
        <w:rPr>
          <w:rFonts w:hint="eastAsia" w:ascii="Times New Roman" w:hAnsi="Times New Roman" w:eastAsia="仿宋_GB2312" w:cs="Times New Roman"/>
          <w:color w:val="auto"/>
          <w:kern w:val="2"/>
          <w:sz w:val="32"/>
          <w:szCs w:val="32"/>
          <w:lang w:val="en-US" w:eastAsia="zh-CN" w:bidi="ar-SA"/>
        </w:rPr>
        <w:t>万元。</w:t>
      </w:r>
    </w:p>
    <w:p w14:paraId="7D49E1D5">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Calibri" w:eastAsia="仿宋_GB2312" w:cs="Times New Roman"/>
          <w:b/>
          <w:bCs/>
          <w:color w:val="auto"/>
          <w:kern w:val="2"/>
          <w:sz w:val="32"/>
          <w:szCs w:val="32"/>
          <w:lang w:val="en-US" w:eastAsia="zh-CN" w:bidi="ar-SA"/>
        </w:rPr>
        <w:t>三是用情推动矛盾纠纷实质化解。</w:t>
      </w:r>
      <w:r>
        <w:rPr>
          <w:rFonts w:hint="eastAsia" w:ascii="Times New Roman" w:hAnsi="Calibri" w:eastAsia="仿宋_GB2312" w:cs="Times New Roman"/>
          <w:b w:val="0"/>
          <w:bCs w:val="0"/>
          <w:color w:val="auto"/>
          <w:kern w:val="2"/>
          <w:sz w:val="32"/>
          <w:szCs w:val="32"/>
          <w:lang w:val="en-US" w:eastAsia="zh-CN" w:bidi="ar-SA"/>
        </w:rPr>
        <w:t>坚持和发展新时代“枫桥经验”“新时代六尺巷工作法”，遵循信访工作法治化要求，</w:t>
      </w:r>
      <w:r>
        <w:rPr>
          <w:rFonts w:hint="eastAsia" w:ascii="Times New Roman" w:eastAsia="仿宋_GB2312" w:cs="Times New Roman"/>
          <w:b w:val="0"/>
          <w:bCs w:val="0"/>
          <w:color w:val="auto"/>
          <w:kern w:val="2"/>
          <w:sz w:val="32"/>
          <w:szCs w:val="32"/>
          <w:lang w:val="en-US" w:eastAsia="zh-CN" w:bidi="ar-SA"/>
        </w:rPr>
        <w:t>持续落实</w:t>
      </w:r>
      <w:r>
        <w:rPr>
          <w:rFonts w:hint="eastAsia" w:ascii="Times New Roman" w:hAnsi="Calibri" w:eastAsia="仿宋_GB2312" w:cs="Times New Roman"/>
          <w:b w:val="0"/>
          <w:bCs w:val="0"/>
          <w:color w:val="auto"/>
          <w:kern w:val="2"/>
          <w:sz w:val="32"/>
          <w:szCs w:val="32"/>
          <w:lang w:val="en-US" w:eastAsia="zh-CN" w:bidi="ar-SA"/>
        </w:rPr>
        <w:t>群众信访</w:t>
      </w:r>
      <w:r>
        <w:rPr>
          <w:rFonts w:hint="eastAsia" w:ascii="Times New Roman" w:eastAsia="仿宋_GB2312" w:cs="Times New Roman"/>
          <w:b w:val="0"/>
          <w:bCs w:val="0"/>
          <w:color w:val="auto"/>
          <w:kern w:val="2"/>
          <w:sz w:val="32"/>
          <w:szCs w:val="32"/>
          <w:lang w:val="en-US" w:eastAsia="zh-CN" w:bidi="ar-SA"/>
        </w:rPr>
        <w:t>“</w:t>
      </w:r>
      <w:r>
        <w:rPr>
          <w:rFonts w:hint="eastAsia" w:ascii="Times New Roman" w:hAnsi="Calibri" w:eastAsia="仿宋_GB2312" w:cs="Times New Roman"/>
          <w:b w:val="0"/>
          <w:bCs w:val="0"/>
          <w:color w:val="auto"/>
          <w:kern w:val="2"/>
          <w:sz w:val="32"/>
          <w:szCs w:val="32"/>
          <w:lang w:val="en-US" w:eastAsia="zh-CN" w:bidi="ar-SA"/>
        </w:rPr>
        <w:t>件件有回复”</w:t>
      </w:r>
      <w:r>
        <w:rPr>
          <w:rFonts w:hint="eastAsia" w:ascii="Times New Roman" w:eastAsia="仿宋_GB2312" w:cs="Times New Roman"/>
          <w:b w:val="0"/>
          <w:bCs w:val="0"/>
          <w:color w:val="auto"/>
          <w:kern w:val="2"/>
          <w:sz w:val="32"/>
          <w:szCs w:val="32"/>
          <w:lang w:val="en-US" w:eastAsia="zh-CN" w:bidi="ar-SA"/>
        </w:rPr>
        <w:t>，</w:t>
      </w:r>
      <w:r>
        <w:rPr>
          <w:rFonts w:hint="eastAsia" w:ascii="Times New Roman" w:hAnsi="Calibri" w:eastAsia="仿宋_GB2312" w:cs="Times New Roman"/>
          <w:b w:val="0"/>
          <w:bCs w:val="0"/>
          <w:color w:val="auto"/>
          <w:kern w:val="2"/>
          <w:sz w:val="32"/>
          <w:szCs w:val="32"/>
          <w:lang w:val="en-US" w:eastAsia="zh-CN" w:bidi="ar-SA"/>
        </w:rPr>
        <w:t>接待群众来访</w:t>
      </w:r>
      <w:r>
        <w:rPr>
          <w:rFonts w:hint="eastAsia" w:ascii="Times New Roman" w:eastAsia="仿宋_GB2312" w:cs="Times New Roman"/>
          <w:b w:val="0"/>
          <w:bCs w:val="0"/>
          <w:color w:val="auto"/>
          <w:kern w:val="2"/>
          <w:sz w:val="32"/>
          <w:szCs w:val="32"/>
          <w:lang w:val="en-US" w:eastAsia="zh-CN" w:bidi="ar-SA"/>
        </w:rPr>
        <w:t>60余</w:t>
      </w:r>
      <w:r>
        <w:rPr>
          <w:rFonts w:hint="eastAsia" w:ascii="Times New Roman" w:hAnsi="Calibri" w:eastAsia="仿宋_GB2312" w:cs="Times New Roman"/>
          <w:b w:val="0"/>
          <w:bCs w:val="0"/>
          <w:color w:val="auto"/>
          <w:kern w:val="2"/>
          <w:sz w:val="32"/>
          <w:szCs w:val="32"/>
          <w:lang w:val="en-US" w:eastAsia="zh-CN" w:bidi="ar-SA"/>
        </w:rPr>
        <w:t>人次，</w:t>
      </w:r>
      <w:r>
        <w:rPr>
          <w:rFonts w:hint="eastAsia" w:ascii="Times New Roman" w:eastAsia="仿宋_GB2312" w:cs="Times New Roman"/>
          <w:b w:val="0"/>
          <w:bCs w:val="0"/>
          <w:color w:val="auto"/>
          <w:kern w:val="2"/>
          <w:sz w:val="32"/>
          <w:szCs w:val="32"/>
          <w:lang w:val="en-US" w:eastAsia="zh-CN" w:bidi="ar-SA"/>
        </w:rPr>
        <w:t>接收群众信访件</w:t>
      </w:r>
      <w:r>
        <w:rPr>
          <w:rFonts w:hint="eastAsia" w:ascii="Times New Roman" w:hAnsi="Calibri" w:eastAsia="仿宋_GB2312" w:cs="Times New Roman"/>
          <w:b w:val="0"/>
          <w:bCs w:val="0"/>
          <w:color w:val="auto"/>
          <w:kern w:val="2"/>
          <w:sz w:val="32"/>
          <w:szCs w:val="32"/>
          <w:lang w:val="en-US" w:eastAsia="zh-CN" w:bidi="ar-SA"/>
        </w:rPr>
        <w:t>2</w:t>
      </w:r>
      <w:r>
        <w:rPr>
          <w:rFonts w:hint="eastAsia" w:ascii="Times New Roman" w:eastAsia="仿宋_GB2312" w:cs="Times New Roman"/>
          <w:b w:val="0"/>
          <w:bCs w:val="0"/>
          <w:color w:val="auto"/>
          <w:kern w:val="2"/>
          <w:sz w:val="32"/>
          <w:szCs w:val="32"/>
          <w:lang w:val="en-US" w:eastAsia="zh-CN" w:bidi="ar-SA"/>
        </w:rPr>
        <w:t>9</w:t>
      </w:r>
      <w:r>
        <w:rPr>
          <w:rFonts w:hint="eastAsia" w:ascii="Times New Roman" w:hAnsi="Calibri" w:eastAsia="仿宋_GB2312" w:cs="Times New Roman"/>
          <w:b w:val="0"/>
          <w:bCs w:val="0"/>
          <w:color w:val="auto"/>
          <w:kern w:val="2"/>
          <w:sz w:val="32"/>
          <w:szCs w:val="32"/>
          <w:lang w:val="en-US" w:eastAsia="zh-CN" w:bidi="ar-SA"/>
        </w:rPr>
        <w:t>件，均在7日内给予程序性回复，做到3个月内办理进展或办理结果答复率100%，全年无赴省进京涉检访事件发生。严格落实院领导包案办理信访</w:t>
      </w:r>
      <w:r>
        <w:rPr>
          <w:rFonts w:hint="eastAsia" w:ascii="Times New Roman" w:eastAsia="仿宋_GB2312" w:cs="Times New Roman"/>
          <w:b w:val="0"/>
          <w:bCs w:val="0"/>
          <w:color w:val="auto"/>
          <w:kern w:val="2"/>
          <w:sz w:val="32"/>
          <w:szCs w:val="32"/>
          <w:lang w:val="en-US" w:eastAsia="zh-CN" w:bidi="ar-SA"/>
        </w:rPr>
        <w:t>案件</w:t>
      </w:r>
      <w:r>
        <w:rPr>
          <w:rFonts w:hint="eastAsia" w:ascii="Times New Roman" w:hAnsi="Calibri" w:eastAsia="仿宋_GB2312" w:cs="Times New Roman"/>
          <w:b w:val="0"/>
          <w:bCs w:val="0"/>
          <w:color w:val="auto"/>
          <w:kern w:val="2"/>
          <w:sz w:val="32"/>
          <w:szCs w:val="32"/>
          <w:lang w:val="en-US" w:eastAsia="zh-CN" w:bidi="ar-SA"/>
        </w:rPr>
        <w:t>，发挥关键少数的示范引领作用，院领导包案</w:t>
      </w:r>
      <w:r>
        <w:rPr>
          <w:rFonts w:hint="eastAsia" w:ascii="Times New Roman" w:eastAsia="仿宋_GB2312" w:cs="Times New Roman"/>
          <w:b w:val="0"/>
          <w:bCs w:val="0"/>
          <w:color w:val="auto"/>
          <w:kern w:val="2"/>
          <w:sz w:val="32"/>
          <w:szCs w:val="32"/>
          <w:lang w:val="en-US" w:eastAsia="zh-CN" w:bidi="ar-SA"/>
        </w:rPr>
        <w:t>化解</w:t>
      </w:r>
      <w:r>
        <w:rPr>
          <w:rFonts w:hint="eastAsia" w:ascii="Times New Roman" w:hAnsi="Calibri" w:eastAsia="仿宋_GB2312" w:cs="Times New Roman"/>
          <w:b w:val="0"/>
          <w:bCs w:val="0"/>
          <w:color w:val="auto"/>
          <w:kern w:val="2"/>
          <w:sz w:val="32"/>
          <w:szCs w:val="32"/>
          <w:lang w:val="en-US" w:eastAsia="zh-CN" w:bidi="ar-SA"/>
        </w:rPr>
        <w:t>群众信访案件4件</w:t>
      </w:r>
      <w:r>
        <w:rPr>
          <w:rFonts w:hint="eastAsia" w:ascii="Times New Roman" w:eastAsia="仿宋_GB2312" w:cs="Times New Roman"/>
          <w:b w:val="0"/>
          <w:bCs w:val="0"/>
          <w:color w:val="auto"/>
          <w:kern w:val="2"/>
          <w:sz w:val="32"/>
          <w:szCs w:val="32"/>
          <w:lang w:val="en-US" w:eastAsia="zh-CN" w:bidi="ar-SA"/>
        </w:rPr>
        <w:t>。</w:t>
      </w:r>
      <w:r>
        <w:rPr>
          <w:rFonts w:hint="eastAsia" w:ascii="Times New Roman" w:hAnsi="Calibri" w:eastAsia="仿宋_GB2312" w:cs="Times New Roman"/>
          <w:b w:val="0"/>
          <w:bCs w:val="0"/>
          <w:color w:val="auto"/>
          <w:kern w:val="2"/>
          <w:sz w:val="32"/>
          <w:szCs w:val="32"/>
          <w:lang w:val="en-US" w:eastAsia="zh-CN" w:bidi="ar-SA"/>
        </w:rPr>
        <w:t>优化工作方式，强化释法说理，把矛盾纠纷化解贯穿于检察办案始终，通过司法救助、公开听证等矛盾多元化解工作机制，推动信访矛盾在首办环节实质性化解</w:t>
      </w:r>
      <w:r>
        <w:rPr>
          <w:rFonts w:hint="eastAsia" w:ascii="Times New Roman" w:eastAsia="仿宋_GB2312" w:cs="Times New Roman"/>
          <w:b w:val="0"/>
          <w:bCs w:val="0"/>
          <w:color w:val="auto"/>
          <w:kern w:val="2"/>
          <w:sz w:val="32"/>
          <w:szCs w:val="32"/>
          <w:lang w:val="en-US" w:eastAsia="zh-CN" w:bidi="ar-SA"/>
        </w:rPr>
        <w:t>。</w:t>
      </w:r>
    </w:p>
    <w:p w14:paraId="01EAF620">
      <w:pPr>
        <w:pStyle w:val="9"/>
        <w:keepNext w:val="0"/>
        <w:keepLines w:val="0"/>
        <w:pageBreakBefore w:val="0"/>
        <w:widowControl w:val="0"/>
        <w:numPr>
          <w:ilvl w:val="0"/>
          <w:numId w:val="0"/>
        </w:numPr>
        <w:kinsoku/>
        <w:wordWrap/>
        <w:overflowPunct/>
        <w:topLinePunct w:val="0"/>
        <w:bidi w:val="0"/>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三、深耕主责主业，聚力提升高质效监督</w:t>
      </w:r>
    </w:p>
    <w:p w14:paraId="11A3269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b/>
          <w:bCs/>
          <w:color w:val="auto"/>
          <w:kern w:val="2"/>
          <w:sz w:val="32"/>
          <w:szCs w:val="32"/>
          <w:lang w:val="en-US" w:eastAsia="zh-CN" w:bidi="ar-SA"/>
        </w:rPr>
        <w:t>一是推动刑事检察行稳致远。</w:t>
      </w:r>
      <w:r>
        <w:rPr>
          <w:rFonts w:hint="eastAsia" w:ascii="Times New Roman" w:hAnsi="Times New Roman" w:eastAsia="仿宋_GB2312" w:cs="Times New Roman"/>
          <w:color w:val="auto"/>
          <w:kern w:val="2"/>
          <w:sz w:val="32"/>
          <w:szCs w:val="32"/>
          <w:lang w:val="en-US" w:eastAsia="zh-CN" w:bidi="ar-SA"/>
        </w:rPr>
        <w:t>持续加强批捕、起诉案件质量把关，通过提前介入、出具继续侦查提纲、出具补充侦查提纲等，引导案件证据收集，出具各类侦查取证意见100余件。进一步提升刑事立案和侦查活动监督质量，向侦查机关提出监督意见67件，采纳率100%。进一步加大刑事审判监督力度，对刑事审判活动和裁判结果提出监督意见3件，采纳率100%。进一步强化对刑罚执行活动的监督，对社区矫正、财产刑执行提出纠正意见52件。</w:t>
      </w:r>
    </w:p>
    <w:p w14:paraId="369CF02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b/>
          <w:bCs/>
          <w:color w:val="auto"/>
          <w:kern w:val="2"/>
          <w:sz w:val="32"/>
          <w:szCs w:val="32"/>
          <w:lang w:val="en-US" w:eastAsia="zh-CN" w:bidi="ar-SA"/>
        </w:rPr>
        <w:t>二是民事检察实现有效监督。</w:t>
      </w:r>
      <w:r>
        <w:rPr>
          <w:rFonts w:hint="eastAsia" w:ascii="Times New Roman" w:hAnsi="Times New Roman" w:eastAsia="仿宋_GB2312" w:cs="Times New Roman"/>
          <w:color w:val="auto"/>
          <w:kern w:val="2"/>
          <w:sz w:val="32"/>
          <w:szCs w:val="32"/>
          <w:lang w:val="en-US" w:eastAsia="zh-CN" w:bidi="ar-SA"/>
        </w:rPr>
        <w:t>加强对民事生效裁判、民事审判活动和民事执行活动全流程监督，受理各类民事诉讼监督案件10件，制发民事审判活动监督检察建议2件、民事执行活动监督检察建议7件。就终结本次执行适用不当问题，制发类案检察建议1件，助力审判机关规范开展民事执行活动。充分发挥民事检察和解工作在解决民事纠纷、促进社会和谐中的作用，通过释法说理、公开听证等方式，促成民事执行和解1件，真正实现申请监督、推进执行、案结事了的全链条闭环。</w:t>
      </w:r>
    </w:p>
    <w:p w14:paraId="3335A50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b/>
          <w:bCs/>
          <w:color w:val="auto"/>
          <w:kern w:val="2"/>
          <w:sz w:val="32"/>
          <w:szCs w:val="32"/>
          <w:lang w:val="en-US" w:eastAsia="zh-CN" w:bidi="ar-SA"/>
        </w:rPr>
        <w:t>三是行政检察实现有力监督。</w:t>
      </w:r>
      <w:r>
        <w:rPr>
          <w:rFonts w:hint="eastAsia" w:ascii="Times New Roman" w:hAnsi="Times New Roman" w:eastAsia="仿宋_GB2312" w:cs="Times New Roman"/>
          <w:color w:val="auto"/>
          <w:kern w:val="2"/>
          <w:sz w:val="32"/>
          <w:szCs w:val="32"/>
          <w:lang w:val="en-US" w:eastAsia="zh-CN" w:bidi="ar-SA"/>
        </w:rPr>
        <w:t>坚持既维护司法公正，又促进依法行政，制发行政审判监督检察建议4件、行政执行监督检察建议4件，行政违法行为监督检察建议12件。深入推进行政争议实质性化解，成功化解1起土地征迁领域行政争议。规范推进行刑反向衔接工作，办理行刑反向衔接案件23件，向行政机关制发检察意见15件。在办理的1件虚假婚姻登记检察监督申请案中，采取多种调查手段依法展开调查核实并进行公开听证，针对查证属实的虚假婚姻登记，向行政机关发出检察建议，督促其依法撤销虚假婚姻登记。</w:t>
      </w:r>
    </w:p>
    <w:p w14:paraId="53B3695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b/>
          <w:bCs/>
          <w:color w:val="auto"/>
          <w:kern w:val="2"/>
          <w:sz w:val="32"/>
          <w:szCs w:val="32"/>
          <w:lang w:val="en-US" w:eastAsia="zh-CN" w:bidi="ar-SA"/>
        </w:rPr>
        <w:t>四是公益诉讼检察精准规范。</w:t>
      </w:r>
      <w:r>
        <w:rPr>
          <w:rFonts w:hint="eastAsia" w:ascii="Times New Roman" w:hAnsi="Times New Roman" w:eastAsia="仿宋_GB2312" w:cs="Times New Roman"/>
          <w:color w:val="auto"/>
          <w:kern w:val="2"/>
          <w:sz w:val="32"/>
          <w:szCs w:val="32"/>
          <w:lang w:val="en-US" w:eastAsia="zh-CN" w:bidi="ar-SA"/>
        </w:rPr>
        <w:t>认真履行“公共利益代表”的职责，持续提升公益诉讼履职办案效果，立案办理公益诉讼监督案件40件，制发行政公益诉讼检察建议38件。依法提起行政公益诉讼1件，以“诉”的确认推动治理、维护公益。开展“线上+线下”食药安全集中整治活动，针对食品药品安全领域问题制发检察建议8件，督促相关行政机关积极履职。突出办案重点，聚焦国有财产保护制发检察建议6件，督促职能部门挽回国有财产损失。积极稳妥拓展公益诉讼监督范围，针对群众反映强烈的安全生产等新领域存在的问题，制发检察建议10件。</w:t>
      </w:r>
    </w:p>
    <w:p w14:paraId="61CEA9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四</w:t>
      </w:r>
      <w:r>
        <w:rPr>
          <w:rFonts w:hint="eastAsia" w:ascii="黑体" w:hAnsi="黑体" w:eastAsia="黑体" w:cs="黑体"/>
          <w:color w:val="000000"/>
          <w:kern w:val="0"/>
          <w:sz w:val="32"/>
          <w:szCs w:val="32"/>
          <w:lang w:val="en-US" w:eastAsia="zh-CN" w:bidi="ar-SA"/>
        </w:rPr>
        <w:t>、坚持守正创新，聚力强化高标准履职</w:t>
      </w:r>
    </w:p>
    <w:p w14:paraId="4A50AA3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b/>
          <w:bCs/>
          <w:color w:val="auto"/>
          <w:kern w:val="2"/>
          <w:sz w:val="32"/>
          <w:szCs w:val="32"/>
          <w:lang w:val="en-US" w:eastAsia="zh-CN" w:bidi="ar-SA"/>
        </w:rPr>
        <w:t>一是加速推进数字赋能。</w:t>
      </w:r>
      <w:r>
        <w:rPr>
          <w:rFonts w:hint="eastAsia" w:ascii="Times New Roman" w:hAnsi="Times New Roman" w:eastAsia="仿宋_GB2312" w:cs="Times New Roman"/>
          <w:b w:val="0"/>
          <w:bCs w:val="0"/>
          <w:color w:val="auto"/>
          <w:kern w:val="2"/>
          <w:sz w:val="32"/>
          <w:szCs w:val="32"/>
          <w:lang w:val="en-US" w:eastAsia="zh-CN" w:bidi="ar-SA"/>
        </w:rPr>
        <w:t>深入实施数字检察战略，</w:t>
      </w:r>
      <w:r>
        <w:rPr>
          <w:rFonts w:hint="eastAsia" w:ascii="Times New Roman" w:hAnsi="Times New Roman" w:eastAsia="仿宋_GB2312" w:cs="Times New Roman"/>
          <w:color w:val="auto"/>
          <w:kern w:val="2"/>
          <w:sz w:val="32"/>
          <w:szCs w:val="32"/>
          <w:lang w:val="en-US" w:eastAsia="zh-CN" w:bidi="ar-SA"/>
        </w:rPr>
        <w:t>通过大数据精准发现类型化、系统性问题，持续提升法律监督质效，全年运用大数据监督模型办理案件64件，占监督案件比例达33.5%。</w:t>
      </w:r>
      <w:r>
        <w:rPr>
          <w:rFonts w:hint="eastAsia" w:hAnsi="Times New Roman" w:eastAsia="仿宋_GB2312" w:cs="Times New Roman"/>
          <w:sz w:val="32"/>
          <w:szCs w:val="32"/>
        </w:rPr>
        <w:t>自主</w:t>
      </w:r>
      <w:r>
        <w:rPr>
          <w:rFonts w:hint="eastAsia" w:hAnsi="Times New Roman" w:eastAsia="仿宋_GB2312" w:cs="Times New Roman"/>
          <w:sz w:val="32"/>
          <w:szCs w:val="32"/>
          <w:lang w:val="en-US" w:eastAsia="zh-CN"/>
        </w:rPr>
        <w:t>搭建</w:t>
      </w:r>
      <w:r>
        <w:rPr>
          <w:rFonts w:hint="eastAsia" w:hAnsi="Times New Roman" w:eastAsia="仿宋_GB2312" w:cs="Times New Roman"/>
          <w:sz w:val="32"/>
          <w:szCs w:val="32"/>
        </w:rPr>
        <w:t>大数据法律监督模</w:t>
      </w:r>
      <w:r>
        <w:rPr>
          <w:rFonts w:hint="eastAsia" w:ascii="Times New Roman" w:hAnsi="Times New Roman" w:eastAsia="仿宋_GB2312" w:cs="Times New Roman"/>
          <w:color w:val="auto"/>
          <w:kern w:val="2"/>
          <w:sz w:val="32"/>
          <w:szCs w:val="32"/>
          <w:lang w:val="en-US" w:eastAsia="zh-CN" w:bidi="ar-SA"/>
        </w:rPr>
        <w:t>型4个，其中“转供电主体违规收取电费公益诉讼监督模型”获得安徽省检察机关第三届大数据法律监督模型竞赛“检察护企”专题竞赛三等奖，“低保资金监管类监督模型”上架最高检大数据法律监督模型平台，并在全国范围内推广应用77次。</w:t>
      </w:r>
    </w:p>
    <w:p w14:paraId="57F28DA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bCs/>
          <w:color w:val="auto"/>
          <w:kern w:val="2"/>
          <w:sz w:val="32"/>
          <w:szCs w:val="32"/>
          <w:lang w:val="en-US" w:eastAsia="zh-CN" w:bidi="ar-SA"/>
        </w:rPr>
        <w:t>二是稳步开展协作配合。</w:t>
      </w:r>
      <w:r>
        <w:rPr>
          <w:rFonts w:hint="eastAsia" w:ascii="Times New Roman" w:hAnsi="Times New Roman" w:eastAsia="仿宋_GB2312" w:cs="Times New Roman"/>
          <w:b w:val="0"/>
          <w:bCs w:val="0"/>
          <w:color w:val="auto"/>
          <w:kern w:val="2"/>
          <w:sz w:val="32"/>
          <w:szCs w:val="32"/>
          <w:lang w:val="en-US" w:eastAsia="zh-CN" w:bidi="ar-SA"/>
        </w:rPr>
        <w:t>深化监检衔接，起诉行贿案件2件2人，坚持行贿受贿一起查，办理受贿案件7件7人。建立行政争议实质性化解“三方协同”工作机制，与法院、司法局会签《关于共同推进行政争议实质性化解的实施办法》。汇聚公益诉讼保护合力，常态化与江宁区、溧水区、高淳区检察院及当涂县检察院沟通协作，加强石臼湖生态环境司法保护；深化与生态环境、卫生健康等部门沟通联系，聘请工作人员兼任特邀检察官助理、“益心为公”志愿者，邀请参与现场勘验、专业咨询等。深化法律监督数据共享，会同区数字资源管理局，与民政、教育等14家单位建立法律监督数据共享机制。</w:t>
      </w:r>
    </w:p>
    <w:p w14:paraId="343A709A">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bCs/>
          <w:color w:val="auto"/>
          <w:kern w:val="2"/>
          <w:sz w:val="32"/>
          <w:szCs w:val="32"/>
          <w:lang w:val="en-US" w:eastAsia="zh-CN" w:bidi="ar-SA"/>
        </w:rPr>
        <w:t>三是主动接受外部监督。</w:t>
      </w:r>
      <w:r>
        <w:rPr>
          <w:rFonts w:hint="eastAsia" w:hAnsi="Times New Roman" w:eastAsia="仿宋_GB2312" w:cs="Times New Roman"/>
          <w:sz w:val="32"/>
          <w:szCs w:val="32"/>
          <w:lang w:val="en-US" w:eastAsia="zh-CN"/>
        </w:rPr>
        <w:t>站稳人民立场，主动接受人大、政协及社会各界监督。严格落实向人大常委会报告工作制度，全力配合区人大常委会对检察建议工作情况的专题调研，认真贯彻落实审议意见。聚焦群众诉求强烈、疑难复杂案件等，主动邀请人大代表、政协委员和人民监督员等参与公开听证</w:t>
      </w:r>
      <w:r>
        <w:rPr>
          <w:rFonts w:hint="eastAsia" w:ascii="Times New Roman" w:hAnsi="Times New Roman" w:eastAsia="仿宋_GB2312" w:cs="Times New Roman"/>
          <w:i w:val="0"/>
          <w:iCs w:val="0"/>
          <w:caps w:val="0"/>
          <w:color w:val="auto"/>
          <w:spacing w:val="0"/>
          <w:kern w:val="2"/>
          <w:sz w:val="32"/>
          <w:szCs w:val="32"/>
          <w:lang w:val="en-US" w:eastAsia="zh-CN" w:bidi="ar-SA"/>
        </w:rPr>
        <w:t>46</w:t>
      </w:r>
      <w:r>
        <w:rPr>
          <w:rFonts w:hint="eastAsia" w:hAnsi="Times New Roman" w:eastAsia="仿宋_GB2312" w:cs="Times New Roman"/>
          <w:sz w:val="32"/>
          <w:szCs w:val="32"/>
          <w:lang w:val="en-US" w:eastAsia="zh-CN"/>
        </w:rPr>
        <w:t>次。持续</w:t>
      </w:r>
      <w:r>
        <w:rPr>
          <w:rFonts w:hint="default" w:ascii="Times New Roman" w:hAnsi="Times New Roman" w:eastAsia="仿宋_GB2312" w:cs="Times New Roman"/>
          <w:sz w:val="32"/>
          <w:szCs w:val="32"/>
          <w:lang w:val="en-US" w:eastAsia="zh-CN"/>
        </w:rPr>
        <w:t>完善代表委员联络机制，邀请人大代表、政协委员等参加检察开放日活动2次。</w:t>
      </w:r>
      <w:r>
        <w:rPr>
          <w:rFonts w:hint="eastAsia" w:ascii="Times New Roman" w:hAnsi="Times New Roman" w:eastAsia="仿宋_GB2312" w:cs="Times New Roman"/>
          <w:sz w:val="32"/>
          <w:szCs w:val="32"/>
          <w:lang w:val="en-US" w:eastAsia="zh-CN"/>
        </w:rPr>
        <w:t>依托12309中国检察网深化检务公开，发布案件程序性信息327条。利用微信公众号、微博等新媒体平台发布信</w:t>
      </w:r>
      <w:r>
        <w:rPr>
          <w:rFonts w:hint="eastAsia" w:ascii="Times New Roman" w:hAnsi="Times New Roman" w:eastAsia="仿宋_GB2312" w:cs="Times New Roman"/>
          <w:sz w:val="32"/>
          <w:szCs w:val="32"/>
          <w:highlight w:val="none"/>
          <w:lang w:val="en-US" w:eastAsia="zh-CN"/>
        </w:rPr>
        <w:t>息500余条，被</w:t>
      </w:r>
      <w:r>
        <w:rPr>
          <w:rFonts w:hint="eastAsia" w:ascii="Times New Roman" w:hAnsi="Times New Roman" w:eastAsia="仿宋_GB2312" w:cs="Times New Roman"/>
          <w:sz w:val="32"/>
          <w:szCs w:val="32"/>
          <w:lang w:val="en-US" w:eastAsia="zh-CN"/>
        </w:rPr>
        <w:t>市级以上</w:t>
      </w:r>
      <w:r>
        <w:rPr>
          <w:rFonts w:hint="eastAsia" w:ascii="Times New Roman" w:hAnsi="Times New Roman" w:eastAsia="仿宋_GB2312" w:cs="Times New Roman"/>
          <w:sz w:val="32"/>
          <w:szCs w:val="32"/>
          <w:highlight w:val="none"/>
          <w:lang w:val="en-US" w:eastAsia="zh-CN"/>
        </w:rPr>
        <w:t>媒体转发39条。</w:t>
      </w:r>
    </w:p>
    <w:p w14:paraId="1DF6F8C5">
      <w:pPr>
        <w:pStyle w:val="9"/>
        <w:keepNext w:val="0"/>
        <w:keepLines w:val="0"/>
        <w:pageBreakBefore w:val="0"/>
        <w:widowControl w:val="0"/>
        <w:numPr>
          <w:ilvl w:val="0"/>
          <w:numId w:val="0"/>
        </w:numPr>
        <w:kinsoku/>
        <w:wordWrap/>
        <w:overflowPunct/>
        <w:topLinePunct w:val="0"/>
        <w:bidi w:val="0"/>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五、强化自身建设，聚力锻造高素能队伍</w:t>
      </w:r>
    </w:p>
    <w:p w14:paraId="22797B7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仿宋_GB2312" w:hAnsi="仿宋_GB2312" w:eastAsia="仿宋_GB2312" w:cs="仿宋_GB2312"/>
          <w:b/>
          <w:bCs/>
          <w:sz w:val="32"/>
          <w:szCs w:val="32"/>
          <w:lang w:val="en-US" w:eastAsia="zh-CN"/>
        </w:rPr>
        <w:t>一是以政治建设凝心铸魂。</w:t>
      </w:r>
      <w:r>
        <w:rPr>
          <w:rFonts w:hint="eastAsia" w:ascii="Times New Roman" w:hAnsi="Times New Roman" w:eastAsia="仿宋_GB2312" w:cs="Times New Roman"/>
          <w:color w:val="auto"/>
          <w:kern w:val="2"/>
          <w:sz w:val="32"/>
          <w:szCs w:val="32"/>
          <w:lang w:val="en-US" w:eastAsia="zh-CN" w:bidi="ar-SA"/>
        </w:rPr>
        <w:t>把党的绝对领导贯穿于检察工作全过程、各方面，主动向区委、市检察院请示报告重要工作和重大事</w:t>
      </w:r>
      <w:r>
        <w:rPr>
          <w:rFonts w:hint="eastAsia" w:ascii="Times New Roman" w:hAnsi="Times New Roman" w:eastAsia="仿宋_GB2312" w:cs="Times New Roman"/>
          <w:color w:val="auto"/>
          <w:kern w:val="2"/>
          <w:sz w:val="32"/>
          <w:szCs w:val="32"/>
          <w:highlight w:val="none"/>
          <w:lang w:val="en-US" w:eastAsia="zh-CN" w:bidi="ar-SA"/>
        </w:rPr>
        <w:t>项9次</w:t>
      </w:r>
      <w:r>
        <w:rPr>
          <w:rFonts w:hint="eastAsia" w:ascii="Times New Roman" w:hAnsi="Times New Roman" w:eastAsia="仿宋_GB2312" w:cs="Times New Roman"/>
          <w:color w:val="auto"/>
          <w:kern w:val="2"/>
          <w:sz w:val="32"/>
          <w:szCs w:val="32"/>
          <w:lang w:val="en-US" w:eastAsia="zh-CN" w:bidi="ar-SA"/>
        </w:rPr>
        <w:t>。巩固扩展学习贯彻习近平新时代中国特色社会主义思想主题教育成果，坚持“第一议题”制度，利用党组会、党组理论学习</w:t>
      </w:r>
      <w:bookmarkStart w:id="1" w:name="_GoBack"/>
      <w:bookmarkEnd w:id="1"/>
      <w:r>
        <w:rPr>
          <w:rFonts w:hint="eastAsia" w:ascii="Times New Roman" w:hAnsi="Times New Roman" w:eastAsia="仿宋_GB2312" w:cs="Times New Roman"/>
          <w:color w:val="auto"/>
          <w:kern w:val="2"/>
          <w:sz w:val="32"/>
          <w:szCs w:val="32"/>
          <w:lang w:val="en-US" w:eastAsia="zh-CN" w:bidi="ar-SA"/>
        </w:rPr>
        <w:t>中心组学习会、党支部“三会一课”等形式开展理论学习60余次，开展交流研讨50余人次。持续深化“韧”党建引领，打造未成年人检察“勿忘不忘”品牌、公益诉讼检察“益心不忘”品牌工作矩阵。压实意识形态工作责任制，加强风险隐患排查，规范网络阵地管理，全年无意识形态领域重大事件发生。</w:t>
      </w:r>
    </w:p>
    <w:p w14:paraId="274C123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val="0"/>
          <w:bCs w:val="0"/>
          <w:sz w:val="32"/>
          <w:szCs w:val="32"/>
          <w:highlight w:val="none"/>
          <w:lang w:val="en-US" w:eastAsia="zh-CN"/>
        </w:rPr>
      </w:pPr>
      <w:r>
        <w:rPr>
          <w:rFonts w:hint="eastAsia" w:ascii="仿宋_GB2312" w:hAnsi="仿宋_GB2312" w:eastAsia="仿宋_GB2312" w:cs="仿宋_GB2312"/>
          <w:b/>
          <w:bCs/>
          <w:sz w:val="32"/>
          <w:szCs w:val="32"/>
          <w:lang w:val="en-US" w:eastAsia="zh-CN"/>
        </w:rPr>
        <w:t>二是以人才培育蓄势聚能。</w:t>
      </w:r>
      <w:r>
        <w:rPr>
          <w:rFonts w:hint="eastAsia" w:ascii="Times New Roman" w:hAnsi="Times New Roman" w:eastAsia="仿宋_GB2312" w:cs="Times New Roman"/>
          <w:color w:val="auto"/>
          <w:kern w:val="2"/>
          <w:sz w:val="32"/>
          <w:szCs w:val="32"/>
          <w:lang w:val="en-US" w:eastAsia="zh-CN" w:bidi="ar-SA"/>
        </w:rPr>
        <w:t>坚持实战、实用、实效导向，加强实务培训、案例培育、岗位练兵，线上、线下组织干警参加各类培训60余次。同步推进政治素质和业务能力提升，建立健全“传帮带”、“一对一”培养机制，引导青年干警学本领、提素能。持续推进“学习型”检察机关建设，</w:t>
      </w:r>
      <w:r>
        <w:rPr>
          <w:rFonts w:hint="eastAsia" w:ascii="Times New Roman" w:hAnsi="Times New Roman" w:eastAsia="仿宋_GB2312" w:cs="Times New Roman"/>
          <w:sz w:val="32"/>
          <w:szCs w:val="32"/>
        </w:rPr>
        <w:t>举办读书季、读书分享会等活动</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次，推动营造比学赶超的浓厚学习氛围。</w:t>
      </w:r>
      <w:r>
        <w:rPr>
          <w:rFonts w:hint="eastAsia" w:ascii="Times New Roman" w:hAnsi="Times New Roman" w:eastAsia="仿宋_GB2312" w:cs="Times New Roman"/>
          <w:color w:val="auto"/>
          <w:kern w:val="2"/>
          <w:sz w:val="32"/>
          <w:szCs w:val="32"/>
          <w:lang w:val="en-US" w:eastAsia="zh-CN" w:bidi="ar-SA"/>
        </w:rPr>
        <w:t>将业务竞赛作为人才培养渠道和能力锻炼平台，着力做到以赛促学、以学促干。</w:t>
      </w:r>
      <w:r>
        <w:rPr>
          <w:rFonts w:hint="default" w:ascii="Times New Roman" w:hAnsi="Times New Roman" w:eastAsia="仿宋_GB2312" w:cs="Times New Roman"/>
          <w:b w:val="0"/>
          <w:bCs w:val="0"/>
          <w:sz w:val="32"/>
          <w:szCs w:val="32"/>
          <w:highlight w:val="none"/>
          <w:lang w:val="en-US" w:eastAsia="zh-CN"/>
        </w:rPr>
        <w:t>1名干警被评为全省检察机关司法警察业务竞赛“十佳标兵”</w:t>
      </w:r>
      <w:r>
        <w:rPr>
          <w:rFonts w:hint="eastAsia" w:ascii="Times New Roman" w:hAnsi="Times New Roman" w:eastAsia="仿宋_GB2312" w:cs="Times New Roman"/>
          <w:b w:val="0"/>
          <w:bCs w:val="0"/>
          <w:sz w:val="32"/>
          <w:szCs w:val="32"/>
          <w:highlight w:val="none"/>
          <w:lang w:val="en-US" w:eastAsia="zh-CN"/>
        </w:rPr>
        <w:t>，1名干警被评为全省优秀办案检察官，5名干警入选全省检察人才库。</w:t>
      </w:r>
    </w:p>
    <w:p w14:paraId="42F1F6C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bCs/>
          <w:sz w:val="32"/>
          <w:szCs w:val="32"/>
          <w:lang w:val="en-US" w:eastAsia="zh-CN"/>
        </w:rPr>
        <w:t>三是</w:t>
      </w:r>
      <w:r>
        <w:rPr>
          <w:rFonts w:hint="eastAsia" w:ascii="Times New Roman" w:hAnsi="Times New Roman" w:eastAsia="仿宋_GB2312" w:cs="Times New Roman"/>
          <w:b/>
          <w:bCs/>
          <w:sz w:val="32"/>
          <w:szCs w:val="32"/>
          <w:lang w:val="en-US" w:eastAsia="zh-CN"/>
        </w:rPr>
        <w:t>以从严治党正风肃纪</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val="0"/>
          <w:bCs w:val="0"/>
          <w:sz w:val="32"/>
          <w:szCs w:val="32"/>
          <w:highlight w:val="none"/>
          <w:lang w:val="en-US" w:eastAsia="zh-CN"/>
        </w:rPr>
        <w:t>扎实有序开展党纪学习教育，围绕学习新修订的《中国共产党纪律处分条例》，精心谋划安排，认真组织实施，推动全院干警提升党性修养、增强纪律意识。全面落实与驻院纪检监察组专题会商制度，召开全面从严治党专题会商会议2次，加强“两个责任”贯通联动。</w:t>
      </w:r>
      <w:r>
        <w:rPr>
          <w:rFonts w:hint="eastAsia" w:ascii="Times New Roman" w:hAnsi="Times New Roman" w:eastAsia="仿宋_GB2312" w:cs="Times New Roman"/>
          <w:b w:val="0"/>
          <w:bCs w:val="0"/>
          <w:sz w:val="32"/>
          <w:szCs w:val="32"/>
          <w:highlight w:val="none"/>
          <w:lang w:val="en-US" w:eastAsia="zh-CN"/>
        </w:rPr>
        <w:t>严格落实党风廉政建设，</w:t>
      </w:r>
      <w:r>
        <w:rPr>
          <w:rFonts w:hint="default" w:ascii="Times New Roman" w:hAnsi="Times New Roman" w:eastAsia="仿宋_GB2312" w:cs="Times New Roman"/>
          <w:b w:val="0"/>
          <w:bCs w:val="0"/>
          <w:sz w:val="32"/>
          <w:szCs w:val="32"/>
          <w:highlight w:val="none"/>
          <w:lang w:val="en-US" w:eastAsia="zh-CN"/>
        </w:rPr>
        <w:t>组织全院检察干警观看警示教育片、旁听职务犯罪</w:t>
      </w:r>
      <w:r>
        <w:rPr>
          <w:rFonts w:hint="eastAsia" w:ascii="Times New Roman" w:hAnsi="Times New Roman" w:eastAsia="仿宋_GB2312" w:cs="Times New Roman"/>
          <w:b w:val="0"/>
          <w:bCs w:val="0"/>
          <w:sz w:val="32"/>
          <w:szCs w:val="32"/>
          <w:highlight w:val="none"/>
          <w:lang w:val="en-US" w:eastAsia="zh-CN"/>
        </w:rPr>
        <w:t>案件庭审等警示教育活动10余次，</w:t>
      </w:r>
      <w:r>
        <w:rPr>
          <w:rFonts w:hint="default" w:ascii="Times New Roman" w:hAnsi="Times New Roman" w:eastAsia="仿宋_GB2312" w:cs="Times New Roman"/>
          <w:b w:val="0"/>
          <w:bCs w:val="0"/>
          <w:sz w:val="32"/>
          <w:szCs w:val="32"/>
          <w:highlight w:val="none"/>
          <w:lang w:val="en-US" w:eastAsia="zh-CN"/>
        </w:rPr>
        <w:t>切实让守规矩、知敬畏成为自觉。严格落实中央八项规定及其实施细则，</w:t>
      </w:r>
      <w:r>
        <w:rPr>
          <w:rFonts w:hint="eastAsia" w:ascii="Times New Roman" w:hAnsi="Times New Roman" w:eastAsia="仿宋_GB2312" w:cs="Times New Roman"/>
          <w:b w:val="0"/>
          <w:bCs w:val="0"/>
          <w:sz w:val="32"/>
          <w:szCs w:val="32"/>
          <w:highlight w:val="none"/>
          <w:lang w:val="en-US" w:eastAsia="zh-CN"/>
        </w:rPr>
        <w:t>抓实抓细</w:t>
      </w:r>
      <w:r>
        <w:rPr>
          <w:rFonts w:hint="default" w:ascii="Times New Roman" w:hAnsi="Times New Roman" w:eastAsia="仿宋_GB2312" w:cs="Times New Roman"/>
          <w:b w:val="0"/>
          <w:bCs w:val="0"/>
          <w:sz w:val="32"/>
          <w:szCs w:val="32"/>
          <w:highlight w:val="none"/>
          <w:lang w:val="en-US" w:eastAsia="zh-CN"/>
        </w:rPr>
        <w:t>“三个规定”</w:t>
      </w:r>
      <w:r>
        <w:rPr>
          <w:rFonts w:hint="eastAsia" w:ascii="Times New Roman" w:hAnsi="Times New Roman" w:eastAsia="仿宋_GB2312" w:cs="Times New Roman"/>
          <w:b w:val="0"/>
          <w:bCs w:val="0"/>
          <w:sz w:val="32"/>
          <w:szCs w:val="32"/>
          <w:highlight w:val="none"/>
          <w:lang w:val="en-US" w:eastAsia="zh-CN"/>
        </w:rPr>
        <w:t>执行</w:t>
      </w:r>
      <w:r>
        <w:rPr>
          <w:rFonts w:hint="default" w:ascii="Times New Roman" w:hAnsi="Times New Roman" w:eastAsia="仿宋_GB2312" w:cs="Times New Roman"/>
          <w:b w:val="0"/>
          <w:bCs w:val="0"/>
          <w:sz w:val="32"/>
          <w:szCs w:val="32"/>
          <w:highlight w:val="none"/>
          <w:lang w:val="en-US" w:eastAsia="zh-CN"/>
        </w:rPr>
        <w:t>，</w:t>
      </w:r>
      <w:r>
        <w:rPr>
          <w:rFonts w:hint="eastAsia" w:ascii="Times New Roman" w:hAnsi="Times New Roman" w:eastAsia="仿宋_GB2312" w:cs="Times New Roman"/>
          <w:b w:val="0"/>
          <w:bCs w:val="0"/>
          <w:sz w:val="32"/>
          <w:szCs w:val="32"/>
          <w:highlight w:val="none"/>
          <w:lang w:val="en-US" w:eastAsia="zh-CN"/>
        </w:rPr>
        <w:t>全院累计填报“三个规定”及重大事项29件</w:t>
      </w:r>
      <w:r>
        <w:rPr>
          <w:rFonts w:hint="default" w:ascii="Times New Roman" w:hAnsi="Times New Roman" w:eastAsia="仿宋_GB2312" w:cs="Times New Roman"/>
          <w:b w:val="0"/>
          <w:bCs w:val="0"/>
          <w:sz w:val="32"/>
          <w:szCs w:val="32"/>
          <w:highlight w:val="none"/>
          <w:lang w:val="en-US" w:eastAsia="zh-CN"/>
        </w:rPr>
        <w:t>。</w:t>
      </w:r>
    </w:p>
    <w:p w14:paraId="1E53E7B3">
      <w:pPr>
        <w:pStyle w:val="6"/>
        <w:keepNext w:val="0"/>
        <w:keepLines w:val="0"/>
        <w:pageBreakBefore w:val="0"/>
        <w:widowControl w:val="0"/>
        <w:kinsoku/>
        <w:wordWrap/>
        <w:overflowPunct/>
        <w:topLinePunct w:val="0"/>
        <w:autoSpaceDE/>
        <w:autoSpaceDN/>
        <w:bidi w:val="0"/>
        <w:adjustRightInd/>
        <w:snapToGrid w:val="0"/>
        <w:spacing w:after="0" w:afterLines="0" w:line="560" w:lineRule="exact"/>
        <w:ind w:left="0" w:leftChars="0" w:firstLine="640" w:firstLineChars="200"/>
        <w:textAlignment w:val="auto"/>
        <w:rPr>
          <w:rFonts w:hint="eastAsia" w:ascii="Times New Roman" w:hAnsi="Times New Roman" w:eastAsia="仿宋_GB2312" w:cs="Times New Roman"/>
          <w:i w:val="0"/>
          <w:iCs w:val="0"/>
          <w:caps w:val="0"/>
          <w:color w:val="000000"/>
          <w:spacing w:val="0"/>
          <w:kern w:val="2"/>
          <w:sz w:val="32"/>
          <w:szCs w:val="32"/>
          <w:lang w:val="en-US" w:eastAsia="zh-CN" w:bidi="ar-SA"/>
        </w:rPr>
      </w:pPr>
      <w:r>
        <w:rPr>
          <w:rFonts w:hint="eastAsia" w:hAnsi="Times New Roman" w:eastAsia="仿宋_GB2312" w:cs="Times New Roman"/>
          <w:b w:val="0"/>
          <w:bCs w:val="0"/>
          <w:color w:val="auto"/>
          <w:spacing w:val="0"/>
          <w:kern w:val="2"/>
          <w:sz w:val="32"/>
          <w:szCs w:val="32"/>
          <w:lang w:val="en-US" w:eastAsia="zh-CN" w:bidi="ar-SA"/>
        </w:rPr>
        <w:t>2024年，区检察院蝉联安徽省文明单位荣誉称号，4个集体、7名个人荣获省级以上表彰。</w:t>
      </w:r>
      <w:r>
        <w:rPr>
          <w:rFonts w:hint="eastAsia" w:ascii="Times New Roman" w:hAnsi="Times New Roman" w:eastAsia="仿宋_GB2312" w:cs="Times New Roman"/>
          <w:b w:val="0"/>
          <w:bCs w:val="0"/>
          <w:color w:val="auto"/>
          <w:spacing w:val="0"/>
          <w:kern w:val="2"/>
          <w:sz w:val="32"/>
          <w:szCs w:val="32"/>
          <w:lang w:val="en-US" w:eastAsia="zh-CN" w:bidi="ar-SA"/>
        </w:rPr>
        <w:t>这些成绩的取得，根本在于有习近平新时代中国特色社会主义思想的科学指引，得益于区委</w:t>
      </w:r>
      <w:r>
        <w:rPr>
          <w:rFonts w:hint="eastAsia" w:hAnsi="Times New Roman" w:eastAsia="仿宋_GB2312" w:cs="Times New Roman"/>
          <w:b w:val="0"/>
          <w:bCs w:val="0"/>
          <w:color w:val="auto"/>
          <w:spacing w:val="0"/>
          <w:kern w:val="2"/>
          <w:sz w:val="32"/>
          <w:szCs w:val="32"/>
          <w:lang w:val="en-US" w:eastAsia="zh-CN" w:bidi="ar-SA"/>
        </w:rPr>
        <w:t>和市检察院</w:t>
      </w:r>
      <w:r>
        <w:rPr>
          <w:rFonts w:hint="eastAsia" w:ascii="Times New Roman" w:hAnsi="Times New Roman" w:eastAsia="仿宋_GB2312" w:cs="Times New Roman"/>
          <w:b w:val="0"/>
          <w:bCs w:val="0"/>
          <w:color w:val="auto"/>
          <w:spacing w:val="0"/>
          <w:kern w:val="2"/>
          <w:sz w:val="32"/>
          <w:szCs w:val="32"/>
          <w:lang w:val="en-US" w:eastAsia="zh-CN" w:bidi="ar-SA"/>
        </w:rPr>
        <w:t>的坚强领导，区人大及其常委会的有力监督，区政府、区政协和社会各界的关心支持，人大代表、政协委员的热忱帮助。在此，我代表区检察院表示</w:t>
      </w:r>
      <w:r>
        <w:rPr>
          <w:rFonts w:hint="eastAsia" w:hAnsi="Times New Roman" w:eastAsia="仿宋_GB2312" w:cs="Times New Roman"/>
          <w:b w:val="0"/>
          <w:bCs w:val="0"/>
          <w:color w:val="auto"/>
          <w:spacing w:val="0"/>
          <w:kern w:val="2"/>
          <w:sz w:val="32"/>
          <w:szCs w:val="32"/>
          <w:lang w:val="en-US" w:eastAsia="zh-CN" w:bidi="ar-SA"/>
        </w:rPr>
        <w:t>诚挚的</w:t>
      </w:r>
      <w:r>
        <w:rPr>
          <w:rFonts w:hint="eastAsia" w:ascii="Times New Roman" w:hAnsi="Times New Roman" w:eastAsia="仿宋_GB2312" w:cs="Times New Roman"/>
          <w:b w:val="0"/>
          <w:bCs w:val="0"/>
          <w:color w:val="auto"/>
          <w:spacing w:val="0"/>
          <w:kern w:val="2"/>
          <w:sz w:val="32"/>
          <w:szCs w:val="32"/>
          <w:lang w:val="en-US" w:eastAsia="zh-CN" w:bidi="ar-SA"/>
        </w:rPr>
        <w:t>感谢！</w:t>
      </w:r>
      <w:r>
        <w:rPr>
          <w:rFonts w:hint="eastAsia" w:ascii="Times New Roman" w:hAnsi="Times New Roman" w:eastAsia="仿宋_GB2312" w:cs="Times New Roman"/>
          <w:b w:val="0"/>
          <w:bCs w:val="0"/>
          <w:color w:val="auto"/>
          <w:spacing w:val="0"/>
          <w:kern w:val="2"/>
          <w:sz w:val="32"/>
          <w:szCs w:val="32"/>
          <w:lang w:val="en-US" w:eastAsia="zh-CN" w:bidi="ar-SA"/>
        </w:rPr>
        <w:br w:type="textWrapping"/>
      </w:r>
      <w:r>
        <w:rPr>
          <w:rFonts w:hint="eastAsia" w:hAnsi="Times New Roman" w:eastAsia="仿宋_GB2312" w:cs="Times New Roman"/>
          <w:b w:val="0"/>
          <w:bCs w:val="0"/>
          <w:color w:val="auto"/>
          <w:spacing w:val="0"/>
          <w:kern w:val="2"/>
          <w:sz w:val="32"/>
          <w:szCs w:val="32"/>
          <w:lang w:val="en-US" w:eastAsia="zh-CN" w:bidi="ar-SA"/>
        </w:rPr>
        <w:t xml:space="preserve">    在看到成绩的同时，我们也认识到，对标党和人民更高要求，当前检察工作还存在一些不足：</w:t>
      </w:r>
      <w:r>
        <w:rPr>
          <w:rFonts w:hint="eastAsia" w:hAnsi="Times New Roman" w:eastAsia="仿宋_GB2312" w:cs="Times New Roman"/>
          <w:b/>
          <w:bCs/>
          <w:color w:val="auto"/>
          <w:spacing w:val="0"/>
          <w:kern w:val="2"/>
          <w:sz w:val="32"/>
          <w:szCs w:val="32"/>
          <w:lang w:val="en-US" w:eastAsia="zh-CN" w:bidi="ar-SA"/>
        </w:rPr>
        <w:t>一是</w:t>
      </w:r>
      <w:r>
        <w:rPr>
          <w:rFonts w:hint="eastAsia" w:hAnsi="Times New Roman" w:eastAsia="仿宋_GB2312" w:cs="Times New Roman"/>
          <w:b w:val="0"/>
          <w:bCs w:val="0"/>
          <w:color w:val="auto"/>
          <w:spacing w:val="0"/>
          <w:kern w:val="2"/>
          <w:sz w:val="32"/>
          <w:szCs w:val="32"/>
          <w:lang w:val="en-US" w:eastAsia="zh-CN" w:bidi="ar-SA"/>
        </w:rPr>
        <w:t>融入和服务全区发展大局的成效尚不明显，对经济社会发展的支持力度和深度有待加强；</w:t>
      </w:r>
      <w:r>
        <w:rPr>
          <w:rFonts w:hint="eastAsia" w:hAnsi="Times New Roman" w:eastAsia="仿宋_GB2312" w:cs="Times New Roman"/>
          <w:b/>
          <w:bCs/>
          <w:color w:val="auto"/>
          <w:spacing w:val="0"/>
          <w:kern w:val="2"/>
          <w:sz w:val="32"/>
          <w:szCs w:val="32"/>
          <w:lang w:val="en-US" w:eastAsia="zh-CN" w:bidi="ar-SA"/>
        </w:rPr>
        <w:t>二是</w:t>
      </w:r>
      <w:r>
        <w:rPr>
          <w:rFonts w:hint="eastAsia" w:hAnsi="Times New Roman" w:eastAsia="仿宋_GB2312" w:cs="Times New Roman"/>
          <w:b w:val="0"/>
          <w:bCs w:val="0"/>
          <w:color w:val="auto"/>
          <w:spacing w:val="0"/>
          <w:kern w:val="2"/>
          <w:sz w:val="32"/>
          <w:szCs w:val="32"/>
          <w:lang w:val="en-US" w:eastAsia="zh-CN" w:bidi="ar-SA"/>
        </w:rPr>
        <w:t>一体履职、综合履职的工作导向还不够凸显，“三个结构比”有待优化；</w:t>
      </w:r>
      <w:r>
        <w:rPr>
          <w:rFonts w:hint="eastAsia" w:hAnsi="Times New Roman" w:eastAsia="仿宋_GB2312" w:cs="Times New Roman"/>
          <w:b/>
          <w:bCs/>
          <w:color w:val="auto"/>
          <w:spacing w:val="0"/>
          <w:kern w:val="2"/>
          <w:sz w:val="32"/>
          <w:szCs w:val="32"/>
          <w:lang w:val="en-US" w:eastAsia="zh-CN" w:bidi="ar-SA"/>
        </w:rPr>
        <w:t>三是</w:t>
      </w:r>
      <w:r>
        <w:rPr>
          <w:rFonts w:hint="eastAsia" w:hAnsi="Times New Roman" w:eastAsia="仿宋_GB2312" w:cs="Times New Roman"/>
          <w:b w:val="0"/>
          <w:bCs w:val="0"/>
          <w:color w:val="auto"/>
          <w:spacing w:val="0"/>
          <w:kern w:val="2"/>
          <w:sz w:val="32"/>
          <w:szCs w:val="32"/>
          <w:lang w:val="en-US" w:eastAsia="zh-CN" w:bidi="ar-SA"/>
        </w:rPr>
        <w:t>距离“以‘三个善于’做实‘高质效办好每一个案件’”的要求还有差距，检察队伍的专业素能与办案能力仍待提高。</w:t>
      </w:r>
      <w:r>
        <w:rPr>
          <w:rFonts w:hint="eastAsia" w:ascii="Times New Roman" w:hAnsi="Times New Roman" w:eastAsia="仿宋_GB2312" w:cs="Times New Roman"/>
          <w:i w:val="0"/>
          <w:iCs w:val="0"/>
          <w:caps w:val="0"/>
          <w:color w:val="000000"/>
          <w:spacing w:val="0"/>
          <w:kern w:val="2"/>
          <w:sz w:val="32"/>
          <w:szCs w:val="32"/>
          <w:lang w:val="en-US" w:eastAsia="zh-CN" w:bidi="ar-SA"/>
        </w:rPr>
        <w:t>对此，我们必将高度重视，</w:t>
      </w:r>
      <w:r>
        <w:rPr>
          <w:rFonts w:hint="eastAsia" w:hAnsi="Times New Roman" w:eastAsia="仿宋_GB2312" w:cs="Times New Roman"/>
          <w:i w:val="0"/>
          <w:iCs w:val="0"/>
          <w:caps w:val="0"/>
          <w:color w:val="000000"/>
          <w:spacing w:val="0"/>
          <w:kern w:val="2"/>
          <w:sz w:val="32"/>
          <w:szCs w:val="32"/>
          <w:lang w:val="en-US" w:eastAsia="zh-CN" w:bidi="ar-SA"/>
        </w:rPr>
        <w:t>下大力气加以解决</w:t>
      </w:r>
      <w:r>
        <w:rPr>
          <w:rFonts w:hint="eastAsia" w:ascii="Times New Roman" w:hAnsi="Times New Roman" w:eastAsia="仿宋_GB2312" w:cs="Times New Roman"/>
          <w:i w:val="0"/>
          <w:iCs w:val="0"/>
          <w:caps w:val="0"/>
          <w:color w:val="000000"/>
          <w:spacing w:val="0"/>
          <w:kern w:val="2"/>
          <w:sz w:val="32"/>
          <w:szCs w:val="32"/>
          <w:lang w:val="en-US" w:eastAsia="zh-CN" w:bidi="ar-SA"/>
        </w:rPr>
        <w:t>。</w:t>
      </w:r>
    </w:p>
    <w:p w14:paraId="3B06AC4F">
      <w:pPr>
        <w:keepNext w:val="0"/>
        <w:keepLines w:val="0"/>
        <w:pageBreakBefore w:val="0"/>
        <w:kinsoku/>
        <w:wordWrap/>
        <w:overflowPunct/>
        <w:topLinePunct w:val="0"/>
        <w:autoSpaceDE/>
        <w:autoSpaceDN/>
        <w:bidi w:val="0"/>
        <w:adjustRightInd/>
        <w:snapToGrid w:val="0"/>
        <w:spacing w:line="560" w:lineRule="exact"/>
        <w:ind w:firstLine="640" w:firstLineChars="200"/>
        <w:jc w:val="center"/>
        <w:textAlignment w:val="auto"/>
        <w:rPr>
          <w:rFonts w:hint="eastAsia" w:ascii="黑体" w:hAnsi="黑体" w:eastAsia="黑体" w:cs="黑体"/>
          <w:kern w:val="0"/>
          <w:sz w:val="32"/>
          <w:szCs w:val="32"/>
        </w:rPr>
      </w:pPr>
    </w:p>
    <w:p w14:paraId="02B9242C">
      <w:pPr>
        <w:keepNext w:val="0"/>
        <w:keepLines w:val="0"/>
        <w:pageBreakBefore w:val="0"/>
        <w:kinsoku/>
        <w:wordWrap/>
        <w:overflowPunct/>
        <w:topLinePunct w:val="0"/>
        <w:autoSpaceDE/>
        <w:autoSpaceDN/>
        <w:bidi w:val="0"/>
        <w:adjustRightInd/>
        <w:snapToGrid w:val="0"/>
        <w:spacing w:line="560" w:lineRule="exact"/>
        <w:ind w:firstLine="640" w:firstLineChars="200"/>
        <w:jc w:val="center"/>
        <w:textAlignment w:val="auto"/>
        <w:rPr>
          <w:rFonts w:hint="eastAsia" w:ascii="黑体" w:hAnsi="黑体" w:eastAsia="黑体" w:cs="黑体"/>
          <w:kern w:val="0"/>
          <w:sz w:val="32"/>
          <w:szCs w:val="32"/>
        </w:rPr>
      </w:pPr>
      <w:r>
        <w:rPr>
          <w:rFonts w:hint="eastAsia" w:ascii="黑体" w:hAnsi="黑体" w:eastAsia="黑体" w:cs="黑体"/>
          <w:kern w:val="0"/>
          <w:sz w:val="32"/>
          <w:szCs w:val="32"/>
        </w:rPr>
        <w:t>20</w:t>
      </w:r>
      <w:r>
        <w:rPr>
          <w:rFonts w:hint="eastAsia" w:ascii="黑体" w:hAnsi="黑体" w:eastAsia="黑体" w:cs="黑体"/>
          <w:kern w:val="0"/>
          <w:sz w:val="32"/>
          <w:szCs w:val="32"/>
          <w:lang w:val="en-US" w:eastAsia="zh-CN"/>
        </w:rPr>
        <w:t>25</w:t>
      </w:r>
      <w:r>
        <w:rPr>
          <w:rFonts w:hint="eastAsia" w:ascii="黑体" w:hAnsi="黑体" w:eastAsia="黑体" w:cs="黑体"/>
          <w:kern w:val="0"/>
          <w:sz w:val="32"/>
          <w:szCs w:val="32"/>
        </w:rPr>
        <w:t>年工作安排</w:t>
      </w:r>
    </w:p>
    <w:p w14:paraId="2AC84B21">
      <w:pPr>
        <w:pStyle w:val="9"/>
        <w:keepNext w:val="0"/>
        <w:keepLines w:val="0"/>
        <w:pageBreakBefore w:val="0"/>
        <w:kinsoku/>
        <w:wordWrap/>
        <w:overflowPunct/>
        <w:topLinePunct w:val="0"/>
        <w:bidi w:val="0"/>
        <w:snapToGrid w:val="0"/>
        <w:spacing w:line="560" w:lineRule="exact"/>
        <w:ind w:firstLine="480" w:firstLineChars="200"/>
        <w:textAlignment w:val="auto"/>
        <w:rPr>
          <w:rFonts w:hint="eastAsia"/>
          <w:lang w:val="en-US" w:eastAsia="zh-CN"/>
        </w:rPr>
      </w:pPr>
    </w:p>
    <w:p w14:paraId="7802EF1E">
      <w:pPr>
        <w:pStyle w:val="9"/>
        <w:keepNext w:val="0"/>
        <w:keepLines w:val="0"/>
        <w:pageBreakBefore w:val="0"/>
        <w:widowControl w:val="0"/>
        <w:kinsoku/>
        <w:wordWrap/>
        <w:overflowPunct/>
        <w:topLinePunct w:val="0"/>
        <w:bidi w:val="0"/>
        <w:spacing w:line="560" w:lineRule="exact"/>
        <w:ind w:firstLine="640" w:firstLineChars="200"/>
        <w:textAlignment w:val="auto"/>
        <w:rPr>
          <w:rFonts w:hint="eastAsia"/>
        </w:rPr>
      </w:pPr>
      <w:r>
        <w:rPr>
          <w:rFonts w:hint="default" w:ascii="Times New Roman" w:hAnsi="Times New Roman" w:eastAsia="仿宋_GB2312" w:cs="Times New Roman"/>
          <w:b w:val="0"/>
          <w:bCs w:val="0"/>
          <w:color w:val="auto"/>
          <w:spacing w:val="0"/>
          <w:kern w:val="2"/>
          <w:sz w:val="32"/>
          <w:szCs w:val="32"/>
          <w:lang w:val="en-US" w:eastAsia="zh-CN" w:bidi="ar-SA"/>
        </w:rPr>
        <w:t>202</w:t>
      </w:r>
      <w:r>
        <w:rPr>
          <w:rFonts w:hint="eastAsia" w:ascii="Times New Roman" w:hAnsi="Times New Roman" w:eastAsia="仿宋_GB2312" w:cs="Times New Roman"/>
          <w:b w:val="0"/>
          <w:bCs w:val="0"/>
          <w:color w:val="auto"/>
          <w:spacing w:val="0"/>
          <w:kern w:val="2"/>
          <w:sz w:val="32"/>
          <w:szCs w:val="32"/>
          <w:lang w:val="en-US" w:eastAsia="zh-CN" w:bidi="ar-SA"/>
        </w:rPr>
        <w:t>5</w:t>
      </w:r>
      <w:r>
        <w:rPr>
          <w:rFonts w:hint="default" w:ascii="Times New Roman" w:hAnsi="Times New Roman" w:eastAsia="仿宋_GB2312" w:cs="Times New Roman"/>
          <w:b w:val="0"/>
          <w:bCs w:val="0"/>
          <w:color w:val="auto"/>
          <w:spacing w:val="0"/>
          <w:kern w:val="2"/>
          <w:sz w:val="32"/>
          <w:szCs w:val="32"/>
          <w:lang w:val="en-US" w:eastAsia="zh-CN" w:bidi="ar-SA"/>
        </w:rPr>
        <w:t>年</w:t>
      </w:r>
      <w:r>
        <w:rPr>
          <w:rFonts w:hint="eastAsia" w:ascii="Times New Roman" w:hAnsi="Times New Roman" w:eastAsia="仿宋_GB2312" w:cs="Times New Roman"/>
          <w:b w:val="0"/>
          <w:bCs w:val="0"/>
          <w:color w:val="auto"/>
          <w:spacing w:val="0"/>
          <w:kern w:val="2"/>
          <w:sz w:val="32"/>
          <w:szCs w:val="32"/>
          <w:lang w:val="en-US" w:eastAsia="zh-CN" w:bidi="ar-SA"/>
        </w:rPr>
        <w:t>，博望区检察院将</w:t>
      </w:r>
      <w:r>
        <w:rPr>
          <w:rFonts w:hint="eastAsia" w:ascii="Times New Roman" w:eastAsia="仿宋_GB2312" w:cs="Times New Roman"/>
          <w:b w:val="0"/>
          <w:bCs w:val="0"/>
          <w:color w:val="auto"/>
          <w:spacing w:val="0"/>
          <w:kern w:val="2"/>
          <w:sz w:val="32"/>
          <w:szCs w:val="32"/>
          <w:lang w:val="en-US" w:eastAsia="zh-CN" w:bidi="ar-SA"/>
        </w:rPr>
        <w:t>坚持</w:t>
      </w:r>
      <w:r>
        <w:rPr>
          <w:rFonts w:hint="eastAsia" w:ascii="Times New Roman" w:hAnsi="Times New Roman" w:eastAsia="仿宋_GB2312" w:cs="Times New Roman"/>
          <w:b w:val="0"/>
          <w:bCs w:val="0"/>
          <w:color w:val="auto"/>
          <w:spacing w:val="0"/>
          <w:kern w:val="2"/>
          <w:sz w:val="32"/>
          <w:szCs w:val="32"/>
          <w:lang w:val="en-US" w:eastAsia="zh-CN" w:bidi="ar-SA"/>
        </w:rPr>
        <w:t>以习近平新时代中国特色社会主义</w:t>
      </w:r>
      <w:r>
        <w:rPr>
          <w:rFonts w:hint="eastAsia" w:ascii="Times New Roman" w:eastAsia="仿宋_GB2312" w:cs="Times New Roman"/>
          <w:b w:val="0"/>
          <w:bCs w:val="0"/>
          <w:color w:val="auto"/>
          <w:spacing w:val="0"/>
          <w:kern w:val="2"/>
          <w:sz w:val="32"/>
          <w:szCs w:val="32"/>
          <w:lang w:val="en-US" w:eastAsia="zh-CN" w:bidi="ar-SA"/>
        </w:rPr>
        <w:t>思想</w:t>
      </w:r>
      <w:r>
        <w:rPr>
          <w:rFonts w:hint="eastAsia" w:ascii="Times New Roman" w:hAnsi="Times New Roman" w:eastAsia="仿宋_GB2312" w:cs="Times New Roman"/>
          <w:b w:val="0"/>
          <w:bCs w:val="0"/>
          <w:color w:val="auto"/>
          <w:spacing w:val="0"/>
          <w:kern w:val="2"/>
          <w:sz w:val="32"/>
          <w:szCs w:val="32"/>
          <w:lang w:val="en-US" w:eastAsia="zh-CN" w:bidi="ar-SA"/>
        </w:rPr>
        <w:t>为指导，全面贯彻党的二十大和二十届三中全会精神，</w:t>
      </w:r>
      <w:r>
        <w:rPr>
          <w:rFonts w:hint="eastAsia" w:ascii="Times New Roman" w:eastAsia="仿宋_GB2312" w:cs="Times New Roman"/>
          <w:b w:val="0"/>
          <w:bCs w:val="0"/>
          <w:color w:val="auto"/>
          <w:spacing w:val="0"/>
          <w:kern w:val="2"/>
          <w:sz w:val="32"/>
          <w:szCs w:val="32"/>
          <w:lang w:val="en-US" w:eastAsia="zh-CN" w:bidi="ar-SA"/>
        </w:rPr>
        <w:t>认真学习贯彻习近平法治思想和习近平总书记考察安徽重要讲话精神，按照</w:t>
      </w:r>
      <w:r>
        <w:rPr>
          <w:rFonts w:hint="eastAsia" w:ascii="Times New Roman" w:hAnsi="Times New Roman" w:eastAsia="仿宋_GB2312" w:cs="Times New Roman"/>
          <w:b w:val="0"/>
          <w:bCs w:val="0"/>
          <w:color w:val="auto"/>
          <w:spacing w:val="0"/>
          <w:kern w:val="2"/>
          <w:sz w:val="32"/>
          <w:szCs w:val="32"/>
          <w:lang w:val="en-US" w:eastAsia="zh-CN" w:bidi="ar-SA"/>
        </w:rPr>
        <w:t>区委和上级检察机关</w:t>
      </w:r>
      <w:r>
        <w:rPr>
          <w:rFonts w:hint="eastAsia" w:ascii="Times New Roman" w:eastAsia="仿宋_GB2312" w:cs="Times New Roman"/>
          <w:b w:val="0"/>
          <w:bCs w:val="0"/>
          <w:color w:val="auto"/>
          <w:spacing w:val="0"/>
          <w:kern w:val="2"/>
          <w:sz w:val="32"/>
          <w:szCs w:val="32"/>
          <w:lang w:val="en-US" w:eastAsia="zh-CN" w:bidi="ar-SA"/>
        </w:rPr>
        <w:t>工作要求</w:t>
      </w:r>
      <w:r>
        <w:rPr>
          <w:rFonts w:hint="eastAsia" w:ascii="Times New Roman" w:hAnsi="Times New Roman" w:eastAsia="仿宋_GB2312" w:cs="Times New Roman"/>
          <w:b w:val="0"/>
          <w:bCs w:val="0"/>
          <w:color w:val="auto"/>
          <w:spacing w:val="0"/>
          <w:kern w:val="2"/>
          <w:sz w:val="32"/>
          <w:szCs w:val="32"/>
          <w:lang w:val="en-US" w:eastAsia="zh-CN" w:bidi="ar-SA"/>
        </w:rPr>
        <w:t>，</w:t>
      </w:r>
      <w:r>
        <w:rPr>
          <w:rFonts w:hint="eastAsia" w:ascii="Times New Roman" w:eastAsia="仿宋_GB2312" w:cs="Times New Roman"/>
          <w:b w:val="0"/>
          <w:bCs w:val="0"/>
          <w:color w:val="auto"/>
          <w:spacing w:val="0"/>
          <w:kern w:val="2"/>
          <w:sz w:val="32"/>
          <w:szCs w:val="32"/>
          <w:lang w:val="en-US" w:eastAsia="zh-CN" w:bidi="ar-SA"/>
        </w:rPr>
        <w:t>依法履行检察职责，</w:t>
      </w:r>
      <w:r>
        <w:rPr>
          <w:rFonts w:hint="eastAsia" w:ascii="Times New Roman" w:hAnsi="Times New Roman" w:eastAsia="仿宋_GB2312" w:cs="Times New Roman"/>
          <w:b w:val="0"/>
          <w:bCs w:val="0"/>
          <w:color w:val="auto"/>
          <w:spacing w:val="0"/>
          <w:kern w:val="2"/>
          <w:sz w:val="32"/>
          <w:szCs w:val="32"/>
          <w:lang w:val="en-US" w:eastAsia="zh-CN" w:bidi="ar-SA"/>
        </w:rPr>
        <w:t>以“高质效办好每一个案件”的扎实行动做实为大局服务、为人民司法、为法治担当。</w:t>
      </w:r>
    </w:p>
    <w:p w14:paraId="2B763666">
      <w:pPr>
        <w:pStyle w:val="9"/>
        <w:keepNext w:val="0"/>
        <w:keepLines w:val="0"/>
        <w:pageBreakBefore w:val="0"/>
        <w:widowControl w:val="0"/>
        <w:kinsoku/>
        <w:wordWrap/>
        <w:overflowPunct/>
        <w:topLinePunct w:val="0"/>
        <w:bidi w:val="0"/>
        <w:spacing w:line="560" w:lineRule="exact"/>
        <w:ind w:firstLine="643" w:firstLineChars="200"/>
        <w:textAlignment w:val="auto"/>
        <w:rPr>
          <w:rFonts w:hint="eastAsia" w:ascii="Times New Roman" w:hAnsi="Times New Roman" w:eastAsia="仿宋_GB2312" w:cs="Times New Roman"/>
          <w:b w:val="0"/>
          <w:bCs w:val="0"/>
          <w:color w:val="auto"/>
          <w:spacing w:val="0"/>
          <w:kern w:val="2"/>
          <w:sz w:val="32"/>
          <w:szCs w:val="32"/>
          <w:lang w:val="en-US" w:eastAsia="zh-CN" w:bidi="ar-SA"/>
        </w:rPr>
      </w:pPr>
      <w:r>
        <w:rPr>
          <w:rFonts w:hint="eastAsia" w:ascii="Times New Roman" w:hAnsi="Times New Roman" w:eastAsia="仿宋_GB2312" w:cs="Times New Roman"/>
          <w:b/>
          <w:bCs/>
          <w:color w:val="auto"/>
          <w:spacing w:val="0"/>
          <w:kern w:val="2"/>
          <w:sz w:val="32"/>
          <w:szCs w:val="32"/>
          <w:lang w:val="en-US" w:eastAsia="zh-CN" w:bidi="ar-SA"/>
        </w:rPr>
        <w:t>一是</w:t>
      </w:r>
      <w:r>
        <w:rPr>
          <w:rFonts w:hint="eastAsia" w:ascii="Times New Roman" w:eastAsia="仿宋_GB2312" w:cs="Times New Roman"/>
          <w:b/>
          <w:bCs/>
          <w:color w:val="auto"/>
          <w:spacing w:val="0"/>
          <w:kern w:val="2"/>
          <w:sz w:val="32"/>
          <w:szCs w:val="32"/>
          <w:lang w:val="en-US" w:eastAsia="zh-CN" w:bidi="ar-SA"/>
        </w:rPr>
        <w:t>提高</w:t>
      </w:r>
      <w:r>
        <w:rPr>
          <w:rFonts w:hint="eastAsia" w:ascii="Times New Roman" w:hAnsi="Times New Roman" w:eastAsia="仿宋_GB2312" w:cs="Times New Roman"/>
          <w:b/>
          <w:bCs/>
          <w:color w:val="auto"/>
          <w:spacing w:val="0"/>
          <w:kern w:val="2"/>
          <w:sz w:val="32"/>
          <w:szCs w:val="32"/>
          <w:lang w:val="en-US" w:eastAsia="zh-CN" w:bidi="ar-SA"/>
        </w:rPr>
        <w:t>政治站位，</w:t>
      </w:r>
      <w:r>
        <w:rPr>
          <w:rFonts w:hint="eastAsia" w:ascii="Times New Roman" w:eastAsia="仿宋_GB2312" w:cs="Times New Roman"/>
          <w:b/>
          <w:bCs/>
          <w:color w:val="auto"/>
          <w:spacing w:val="0"/>
          <w:kern w:val="2"/>
          <w:sz w:val="32"/>
          <w:szCs w:val="32"/>
          <w:lang w:val="en-US" w:eastAsia="zh-CN" w:bidi="ar-SA"/>
        </w:rPr>
        <w:t>坚持</w:t>
      </w:r>
      <w:r>
        <w:rPr>
          <w:rFonts w:hint="eastAsia" w:ascii="Times New Roman" w:hAnsi="Times New Roman" w:eastAsia="仿宋_GB2312" w:cs="Times New Roman"/>
          <w:b/>
          <w:bCs/>
          <w:color w:val="auto"/>
          <w:spacing w:val="0"/>
          <w:kern w:val="2"/>
          <w:sz w:val="32"/>
          <w:szCs w:val="32"/>
          <w:lang w:val="en-US" w:eastAsia="zh-CN" w:bidi="ar-SA"/>
        </w:rPr>
        <w:t>党的绝对领导。</w:t>
      </w:r>
      <w:r>
        <w:rPr>
          <w:rFonts w:hint="eastAsia" w:ascii="Times New Roman" w:hAnsi="Times New Roman" w:eastAsia="仿宋_GB2312" w:cs="Times New Roman"/>
          <w:b w:val="0"/>
          <w:bCs w:val="0"/>
          <w:color w:val="auto"/>
          <w:spacing w:val="0"/>
          <w:kern w:val="2"/>
          <w:sz w:val="32"/>
          <w:szCs w:val="32"/>
          <w:lang w:val="en-US" w:eastAsia="zh-CN" w:bidi="ar-SA"/>
        </w:rPr>
        <w:t>坚持不懈用习近平新时代中国特色社会主义思想凝心铸魂，始终坚持以党的政治建设为统领，抓好政治理论学习，确保检察工作始终沿着正确的政治方向前进。</w:t>
      </w:r>
      <w:r>
        <w:rPr>
          <w:rFonts w:hint="eastAsia" w:ascii="Times New Roman" w:eastAsia="仿宋_GB2312" w:cs="Times New Roman"/>
          <w:b w:val="0"/>
          <w:bCs w:val="0"/>
          <w:color w:val="auto"/>
          <w:spacing w:val="0"/>
          <w:kern w:val="2"/>
          <w:sz w:val="32"/>
          <w:szCs w:val="32"/>
          <w:lang w:val="en-US" w:eastAsia="zh-CN" w:bidi="ar-SA"/>
        </w:rPr>
        <w:t>严格贯彻政法工作条例，坚决落实党中央决策部署和省委、市委、区委工作要求，切实把党的领导贯穿检察工作全过程各方面。</w:t>
      </w:r>
      <w:r>
        <w:rPr>
          <w:rFonts w:hint="eastAsia" w:ascii="Times New Roman" w:hAnsi="Times New Roman" w:eastAsia="仿宋_GB2312" w:cs="Times New Roman"/>
          <w:b w:val="0"/>
          <w:bCs w:val="0"/>
          <w:color w:val="auto"/>
          <w:spacing w:val="0"/>
          <w:kern w:val="2"/>
          <w:sz w:val="32"/>
          <w:szCs w:val="32"/>
          <w:lang w:val="en-US" w:eastAsia="zh-CN" w:bidi="ar-SA"/>
        </w:rPr>
        <w:t>落实党建工作责任制，持续完善“韧”党建工作机制及“勿忘不忘”“益心不忘”品牌矩阵，积极推进政治与业务建设深度融合。坚持把“从政治上看”融入意识形态工作全过程、各方面，不断</w:t>
      </w:r>
      <w:r>
        <w:rPr>
          <w:rFonts w:hint="eastAsia" w:ascii="Times New Roman" w:eastAsia="仿宋_GB2312" w:cs="Times New Roman"/>
          <w:b w:val="0"/>
          <w:bCs w:val="0"/>
          <w:color w:val="auto"/>
          <w:spacing w:val="0"/>
          <w:kern w:val="2"/>
          <w:sz w:val="32"/>
          <w:szCs w:val="32"/>
          <w:lang w:val="en-US" w:eastAsia="zh-CN" w:bidi="ar-SA"/>
        </w:rPr>
        <w:t>筑牢</w:t>
      </w:r>
      <w:r>
        <w:rPr>
          <w:rFonts w:hint="eastAsia" w:ascii="Times New Roman" w:hAnsi="Times New Roman" w:eastAsia="仿宋_GB2312" w:cs="Times New Roman"/>
          <w:b w:val="0"/>
          <w:bCs w:val="0"/>
          <w:color w:val="auto"/>
          <w:spacing w:val="0"/>
          <w:kern w:val="2"/>
          <w:sz w:val="32"/>
          <w:szCs w:val="32"/>
          <w:lang w:val="en-US" w:eastAsia="zh-CN" w:bidi="ar-SA"/>
        </w:rPr>
        <w:t>意识形态阵地，提升意识形态工作质效。</w:t>
      </w:r>
    </w:p>
    <w:p w14:paraId="4D4EC5FC">
      <w:pPr>
        <w:pStyle w:val="9"/>
        <w:keepNext w:val="0"/>
        <w:keepLines w:val="0"/>
        <w:pageBreakBefore w:val="0"/>
        <w:widowControl w:val="0"/>
        <w:kinsoku/>
        <w:wordWrap/>
        <w:overflowPunct/>
        <w:topLinePunct w:val="0"/>
        <w:bidi w:val="0"/>
        <w:spacing w:line="560" w:lineRule="exact"/>
        <w:ind w:firstLine="640" w:firstLineChars="200"/>
        <w:textAlignment w:val="auto"/>
        <w:rPr>
          <w:rFonts w:hint="eastAsia" w:ascii="Times New Roman" w:hAnsi="Times New Roman" w:eastAsia="仿宋_GB2312" w:cs="Times New Roman"/>
          <w:b w:val="0"/>
          <w:bCs w:val="0"/>
          <w:color w:val="auto"/>
          <w:spacing w:val="0"/>
          <w:kern w:val="2"/>
          <w:sz w:val="32"/>
          <w:szCs w:val="32"/>
          <w:lang w:val="en-US" w:eastAsia="zh-CN" w:bidi="ar-SA"/>
        </w:rPr>
      </w:pPr>
      <w:r>
        <w:rPr>
          <w:rFonts w:hint="eastAsia" w:ascii="Times New Roman" w:hAnsi="Times New Roman" w:eastAsia="仿宋_GB2312" w:cs="Times New Roman"/>
          <w:b w:val="0"/>
          <w:bCs w:val="0"/>
          <w:color w:val="auto"/>
          <w:spacing w:val="0"/>
          <w:kern w:val="2"/>
          <w:sz w:val="32"/>
          <w:szCs w:val="32"/>
          <w:lang w:val="en-US" w:eastAsia="zh-CN" w:bidi="ar-SA"/>
        </w:rPr>
        <w:t xml:space="preserve"> </w:t>
      </w:r>
      <w:r>
        <w:rPr>
          <w:rFonts w:hint="eastAsia" w:ascii="Times New Roman" w:hAnsi="Times New Roman" w:eastAsia="仿宋_GB2312" w:cs="Times New Roman"/>
          <w:b/>
          <w:bCs/>
          <w:color w:val="auto"/>
          <w:spacing w:val="0"/>
          <w:kern w:val="2"/>
          <w:sz w:val="32"/>
          <w:szCs w:val="32"/>
          <w:lang w:val="en-US" w:eastAsia="zh-CN" w:bidi="ar-SA"/>
        </w:rPr>
        <w:t>二是</w:t>
      </w:r>
      <w:r>
        <w:rPr>
          <w:rFonts w:hint="eastAsia" w:ascii="Times New Roman" w:eastAsia="仿宋_GB2312" w:cs="Times New Roman"/>
          <w:b/>
          <w:bCs/>
          <w:color w:val="auto"/>
          <w:spacing w:val="0"/>
          <w:kern w:val="2"/>
          <w:sz w:val="32"/>
          <w:szCs w:val="32"/>
          <w:lang w:val="en-US" w:eastAsia="zh-CN" w:bidi="ar-SA"/>
        </w:rPr>
        <w:t>强化</w:t>
      </w:r>
      <w:r>
        <w:rPr>
          <w:rFonts w:hint="eastAsia" w:ascii="Times New Roman" w:hAnsi="Times New Roman" w:eastAsia="仿宋_GB2312" w:cs="Times New Roman"/>
          <w:b/>
          <w:bCs/>
          <w:color w:val="auto"/>
          <w:spacing w:val="0"/>
          <w:kern w:val="2"/>
          <w:sz w:val="32"/>
          <w:szCs w:val="32"/>
          <w:lang w:val="en-US" w:eastAsia="zh-CN" w:bidi="ar-SA"/>
        </w:rPr>
        <w:t>责任担当，服务经济发展大局。</w:t>
      </w:r>
      <w:r>
        <w:rPr>
          <w:rFonts w:hint="eastAsia" w:ascii="Times New Roman" w:eastAsia="仿宋_GB2312" w:cs="Times New Roman"/>
          <w:b w:val="0"/>
          <w:bCs w:val="0"/>
          <w:color w:val="auto"/>
          <w:spacing w:val="0"/>
          <w:kern w:val="2"/>
          <w:sz w:val="32"/>
          <w:szCs w:val="32"/>
          <w:lang w:val="en-US" w:eastAsia="zh-CN" w:bidi="ar-SA"/>
        </w:rPr>
        <w:t>维护高水平安全，依法严厉打击各类违法犯罪活动，全面准确落实宽严相济刑事政策，通过检察建议推动源头治理</w:t>
      </w:r>
      <w:r>
        <w:rPr>
          <w:rFonts w:hint="eastAsia" w:ascii="Times New Roman" w:hAnsi="Times New Roman" w:eastAsia="仿宋_GB2312" w:cs="Times New Roman"/>
          <w:b w:val="0"/>
          <w:bCs w:val="0"/>
          <w:color w:val="auto"/>
          <w:spacing w:val="0"/>
          <w:kern w:val="2"/>
          <w:sz w:val="32"/>
          <w:szCs w:val="32"/>
          <w:lang w:val="en-US" w:eastAsia="zh-CN" w:bidi="ar-SA"/>
        </w:rPr>
        <w:t>。推动“检察护企”专项行动进一步走深走实，依法平等保护各类市场主体合法权益，持续优化法治化营商环境。践行司法为民宗旨，深入推进“检护民生”专项行动，着力开展支持起诉、司法救助工作，加大对弱势群体合法权益保护力度。深入推进信访工作法治化</w:t>
      </w:r>
      <w:r>
        <w:rPr>
          <w:rFonts w:hint="eastAsia" w:ascii="Times New Roman" w:eastAsia="仿宋_GB2312" w:cs="Times New Roman"/>
          <w:b w:val="0"/>
          <w:bCs w:val="0"/>
          <w:color w:val="auto"/>
          <w:spacing w:val="0"/>
          <w:kern w:val="2"/>
          <w:sz w:val="32"/>
          <w:szCs w:val="32"/>
          <w:lang w:val="en-US" w:eastAsia="zh-CN" w:bidi="ar-SA"/>
        </w:rPr>
        <w:t>，</w:t>
      </w:r>
      <w:r>
        <w:rPr>
          <w:rFonts w:hint="eastAsia" w:ascii="Times New Roman" w:hAnsi="Times New Roman" w:eastAsia="仿宋_GB2312" w:cs="Times New Roman"/>
          <w:b w:val="0"/>
          <w:bCs w:val="0"/>
          <w:color w:val="auto"/>
          <w:spacing w:val="0"/>
          <w:kern w:val="2"/>
          <w:sz w:val="32"/>
          <w:szCs w:val="32"/>
          <w:lang w:val="en-US" w:eastAsia="zh-CN" w:bidi="ar-SA"/>
        </w:rPr>
        <w:t>落实群众信访“件件有回复”、院领导接访、包案化解制度。继续落实跨区域检察协作，汇聚形成共建共治共享基层社会治理新合力，深入推进长三角一体化发展。</w:t>
      </w:r>
    </w:p>
    <w:p w14:paraId="59870141">
      <w:pPr>
        <w:pStyle w:val="9"/>
        <w:keepNext w:val="0"/>
        <w:keepLines w:val="0"/>
        <w:pageBreakBefore w:val="0"/>
        <w:widowControl w:val="0"/>
        <w:kinsoku/>
        <w:wordWrap/>
        <w:overflowPunct/>
        <w:topLinePunct w:val="0"/>
        <w:bidi w:val="0"/>
        <w:spacing w:line="560" w:lineRule="exact"/>
        <w:ind w:firstLine="643" w:firstLineChars="200"/>
        <w:textAlignment w:val="auto"/>
        <w:rPr>
          <w:rFonts w:hint="eastAsia" w:ascii="Times New Roman" w:hAnsi="Times New Roman" w:eastAsia="仿宋_GB2312" w:cs="Times New Roman"/>
          <w:b w:val="0"/>
          <w:bCs w:val="0"/>
          <w:color w:val="auto"/>
          <w:spacing w:val="0"/>
          <w:kern w:val="2"/>
          <w:sz w:val="32"/>
          <w:szCs w:val="32"/>
          <w:lang w:val="en-US" w:eastAsia="zh-CN" w:bidi="ar-SA"/>
        </w:rPr>
      </w:pPr>
      <w:r>
        <w:rPr>
          <w:rFonts w:hint="eastAsia" w:ascii="Times New Roman" w:hAnsi="Times New Roman" w:eastAsia="仿宋_GB2312" w:cs="Times New Roman"/>
          <w:b/>
          <w:bCs/>
          <w:color w:val="auto"/>
          <w:spacing w:val="0"/>
          <w:kern w:val="2"/>
          <w:sz w:val="32"/>
          <w:szCs w:val="32"/>
          <w:lang w:val="en-US" w:eastAsia="zh-CN" w:bidi="ar-SA"/>
        </w:rPr>
        <w:t>三是</w:t>
      </w:r>
      <w:r>
        <w:rPr>
          <w:rFonts w:hint="eastAsia" w:ascii="Times New Roman" w:eastAsia="仿宋_GB2312" w:cs="Times New Roman"/>
          <w:b/>
          <w:bCs/>
          <w:color w:val="auto"/>
          <w:spacing w:val="0"/>
          <w:kern w:val="2"/>
          <w:sz w:val="32"/>
          <w:szCs w:val="32"/>
          <w:lang w:val="en-US" w:eastAsia="zh-CN" w:bidi="ar-SA"/>
        </w:rPr>
        <w:t>提升</w:t>
      </w:r>
      <w:r>
        <w:rPr>
          <w:rFonts w:hint="eastAsia" w:ascii="Times New Roman" w:hAnsi="Times New Roman" w:eastAsia="仿宋_GB2312" w:cs="Times New Roman"/>
          <w:b/>
          <w:bCs/>
          <w:color w:val="auto"/>
          <w:spacing w:val="0"/>
          <w:kern w:val="2"/>
          <w:sz w:val="32"/>
          <w:szCs w:val="32"/>
          <w:lang w:val="en-US" w:eastAsia="zh-CN" w:bidi="ar-SA"/>
        </w:rPr>
        <w:t>履职质效，完善法律监督工作。</w:t>
      </w:r>
      <w:r>
        <w:rPr>
          <w:rFonts w:hint="eastAsia" w:ascii="Times New Roman" w:hAnsi="Times New Roman" w:eastAsia="仿宋_GB2312" w:cs="Times New Roman"/>
          <w:b w:val="0"/>
          <w:bCs w:val="0"/>
          <w:color w:val="auto"/>
          <w:spacing w:val="0"/>
          <w:kern w:val="2"/>
          <w:sz w:val="32"/>
          <w:szCs w:val="32"/>
          <w:lang w:val="en-US" w:eastAsia="zh-CN" w:bidi="ar-SA"/>
        </w:rPr>
        <w:t>从法律监督理念、体系、机制、能力等方面系统推进检察工作，加强刑事诉讼全流程监督，扩宽民事监督的广度和深度，积极稳妥推进行政违法行为监督，突出公益诉讼检察的“精准性”“规范性”，以“四大检察”的全面、协调、充分、发展构建法律监督新格局。加强与公安机关、审判机关等部门的协作配合，构建完善的法律监督工作体系。</w:t>
      </w:r>
      <w:r>
        <w:rPr>
          <w:rFonts w:hint="eastAsia" w:ascii="Times New Roman" w:eastAsia="仿宋_GB2312" w:cs="Times New Roman"/>
          <w:b w:val="0"/>
          <w:bCs w:val="0"/>
          <w:color w:val="auto"/>
          <w:spacing w:val="0"/>
          <w:kern w:val="2"/>
          <w:sz w:val="32"/>
          <w:szCs w:val="32"/>
          <w:lang w:val="en-US" w:eastAsia="zh-CN" w:bidi="ar-SA"/>
        </w:rPr>
        <w:t>充分履行反腐败检察职能，完善监检衔接机制，凝聚反腐合力。</w:t>
      </w:r>
      <w:r>
        <w:rPr>
          <w:rFonts w:hint="eastAsia" w:ascii="Times New Roman" w:hAnsi="Times New Roman" w:eastAsia="仿宋_GB2312" w:cs="Times New Roman"/>
          <w:b w:val="0"/>
          <w:bCs w:val="0"/>
          <w:color w:val="auto"/>
          <w:spacing w:val="0"/>
          <w:kern w:val="2"/>
          <w:sz w:val="32"/>
          <w:szCs w:val="32"/>
          <w:lang w:val="en-US" w:eastAsia="zh-CN" w:bidi="ar-SA"/>
        </w:rPr>
        <w:t>创新法律监督方式，推动数字检察深度应用，以大数据、人工智能等现代科技手段赋能法律监督，提升监督效能。</w:t>
      </w:r>
    </w:p>
    <w:p w14:paraId="1C4543DA">
      <w:pPr>
        <w:pStyle w:val="9"/>
        <w:keepNext w:val="0"/>
        <w:keepLines w:val="0"/>
        <w:pageBreakBefore w:val="0"/>
        <w:widowControl w:val="0"/>
        <w:kinsoku/>
        <w:wordWrap/>
        <w:overflowPunct/>
        <w:topLinePunct w:val="0"/>
        <w:bidi w:val="0"/>
        <w:spacing w:line="560" w:lineRule="exact"/>
        <w:ind w:firstLine="643" w:firstLineChars="200"/>
        <w:textAlignment w:val="auto"/>
        <w:rPr>
          <w:rFonts w:hint="eastAsia" w:ascii="Times New Roman" w:hAnsi="Times New Roman" w:eastAsia="仿宋_GB2312" w:cs="Times New Roman"/>
          <w:b w:val="0"/>
          <w:bCs w:val="0"/>
          <w:color w:val="auto"/>
          <w:spacing w:val="0"/>
          <w:kern w:val="2"/>
          <w:sz w:val="32"/>
          <w:szCs w:val="32"/>
          <w:lang w:val="en-US" w:eastAsia="zh-CN" w:bidi="ar-SA"/>
        </w:rPr>
      </w:pPr>
      <w:r>
        <w:rPr>
          <w:rFonts w:hint="eastAsia" w:ascii="Times New Roman" w:hAnsi="Times New Roman" w:eastAsia="仿宋_GB2312" w:cs="Times New Roman"/>
          <w:b/>
          <w:bCs/>
          <w:color w:val="auto"/>
          <w:spacing w:val="0"/>
          <w:kern w:val="2"/>
          <w:sz w:val="32"/>
          <w:szCs w:val="32"/>
          <w:lang w:val="en-US" w:eastAsia="zh-CN" w:bidi="ar-SA"/>
        </w:rPr>
        <w:t>四</w:t>
      </w:r>
      <w:r>
        <w:rPr>
          <w:rFonts w:hint="eastAsia" w:ascii="Times New Roman" w:eastAsia="仿宋_GB2312" w:cs="Times New Roman"/>
          <w:b/>
          <w:bCs/>
          <w:color w:val="auto"/>
          <w:spacing w:val="0"/>
          <w:kern w:val="2"/>
          <w:sz w:val="32"/>
          <w:szCs w:val="32"/>
          <w:lang w:val="en-US" w:eastAsia="zh-CN" w:bidi="ar-SA"/>
        </w:rPr>
        <w:t>是厚植发展根基</w:t>
      </w:r>
      <w:r>
        <w:rPr>
          <w:rFonts w:hint="eastAsia" w:ascii="Times New Roman" w:hAnsi="Times New Roman" w:eastAsia="仿宋_GB2312" w:cs="Times New Roman"/>
          <w:b/>
          <w:bCs/>
          <w:color w:val="auto"/>
          <w:spacing w:val="0"/>
          <w:kern w:val="2"/>
          <w:sz w:val="32"/>
          <w:szCs w:val="32"/>
          <w:lang w:val="en-US" w:eastAsia="zh-CN" w:bidi="ar-SA"/>
        </w:rPr>
        <w:t>，</w:t>
      </w:r>
      <w:r>
        <w:rPr>
          <w:rFonts w:hint="eastAsia" w:ascii="Times New Roman" w:eastAsia="仿宋_GB2312" w:cs="Times New Roman"/>
          <w:b/>
          <w:bCs/>
          <w:color w:val="auto"/>
          <w:spacing w:val="0"/>
          <w:kern w:val="2"/>
          <w:sz w:val="32"/>
          <w:szCs w:val="32"/>
          <w:lang w:val="en-US" w:eastAsia="zh-CN" w:bidi="ar-SA"/>
        </w:rPr>
        <w:t>夯实检察队伍建设</w:t>
      </w:r>
      <w:r>
        <w:rPr>
          <w:rFonts w:hint="eastAsia" w:ascii="Times New Roman" w:hAnsi="Times New Roman" w:eastAsia="仿宋_GB2312" w:cs="Times New Roman"/>
          <w:b/>
          <w:bCs/>
          <w:color w:val="auto"/>
          <w:spacing w:val="0"/>
          <w:kern w:val="2"/>
          <w:sz w:val="32"/>
          <w:szCs w:val="32"/>
          <w:lang w:val="en-US" w:eastAsia="zh-CN" w:bidi="ar-SA"/>
        </w:rPr>
        <w:t>。</w:t>
      </w:r>
      <w:r>
        <w:rPr>
          <w:rFonts w:hint="eastAsia" w:ascii="Times New Roman" w:hAnsi="Times New Roman" w:eastAsia="仿宋_GB2312" w:cs="Times New Roman"/>
          <w:b w:val="0"/>
          <w:bCs w:val="0"/>
          <w:color w:val="auto"/>
          <w:spacing w:val="0"/>
          <w:kern w:val="2"/>
          <w:sz w:val="32"/>
          <w:szCs w:val="32"/>
          <w:lang w:val="en-US" w:eastAsia="zh-CN" w:bidi="ar-SA"/>
        </w:rPr>
        <w:t>主动对标新时代检察履职更高要求，将“三个善于”理念融入队伍建设，常态化开展实战练兵，提升检察人员综合素能，培育业务能手。深入落实全面从严治党主体责任，坚决防止干预司法“三个规定”，引导检察人员自觉做到知敬畏、存戒惧、守底线。巩固深化党纪学习教育成果，严格落实管人、管案、管事各项制度，切实保障检察权依法规范运行、检察官依法公正履职。自觉接受人大监督，主动邀请代表、委员、社会各界参与检察工作，确保检察权更加公开透明。</w:t>
      </w:r>
    </w:p>
    <w:p w14:paraId="35EC81C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Times New Roman"/>
          <w:b w:val="0"/>
          <w:bCs w:val="0"/>
          <w:color w:val="auto"/>
          <w:spacing w:val="0"/>
          <w:kern w:val="2"/>
          <w:sz w:val="32"/>
          <w:szCs w:val="32"/>
          <w:lang w:val="en-US" w:eastAsia="zh-CN" w:bidi="ar-SA"/>
        </w:rPr>
      </w:pPr>
      <w:r>
        <w:rPr>
          <w:rFonts w:hint="eastAsia" w:ascii="Times New Roman" w:hAnsi="Times New Roman" w:eastAsia="仿宋_GB2312" w:cs="Times New Roman"/>
          <w:b w:val="0"/>
          <w:bCs w:val="0"/>
          <w:color w:val="auto"/>
          <w:spacing w:val="0"/>
          <w:kern w:val="2"/>
          <w:sz w:val="32"/>
          <w:szCs w:val="32"/>
          <w:lang w:val="en-US" w:eastAsia="zh-CN" w:bidi="ar-SA"/>
        </w:rPr>
        <w:t>各位代表，新时代呼唤新担当，新征程当有新作为。新的一年，博望区检察院将在区委和市检察院的坚强领导下，认真落实本次会议决议，坚定信心、铆足干劲、攻坚克难、奋勇争先，以忠诚履职服务发展大局，以初心如磐做实司法为民，为加快建设“四区一极”新博望，奋力谱写现代化“明珠博望、智造新城”崭新篇章提供优质高效的司法保障。</w:t>
      </w:r>
    </w:p>
    <w:p w14:paraId="1F3C449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Times New Roman"/>
          <w:b w:val="0"/>
          <w:bCs w:val="0"/>
          <w:color w:val="auto"/>
          <w:spacing w:val="0"/>
          <w:kern w:val="2"/>
          <w:sz w:val="32"/>
          <w:szCs w:val="32"/>
          <w:lang w:val="en-US" w:eastAsia="zh-CN" w:bidi="ar-SA"/>
        </w:rPr>
      </w:pPr>
    </w:p>
    <w:p w14:paraId="3D09CB8E">
      <w:pPr>
        <w:pStyle w:val="9"/>
        <w:pageBreakBefore w:val="0"/>
        <w:kinsoku/>
        <w:wordWrap/>
        <w:overflowPunct/>
        <w:topLinePunct w:val="0"/>
        <w:bidi w:val="0"/>
        <w:snapToGrid w:val="0"/>
        <w:spacing w:line="560" w:lineRule="exact"/>
        <w:jc w:val="both"/>
        <w:textAlignment w:val="auto"/>
        <w:rPr>
          <w:rFonts w:ascii="Times New Roman" w:hAnsi="Times New Roman" w:eastAsia="黑体"/>
          <w:color w:val="000000"/>
          <w:sz w:val="32"/>
          <w:szCs w:val="32"/>
        </w:rPr>
      </w:pPr>
    </w:p>
    <w:p w14:paraId="063C79D8">
      <w:pPr>
        <w:pStyle w:val="9"/>
        <w:pageBreakBefore w:val="0"/>
        <w:kinsoku/>
        <w:wordWrap/>
        <w:overflowPunct/>
        <w:topLinePunct w:val="0"/>
        <w:bidi w:val="0"/>
        <w:snapToGrid w:val="0"/>
        <w:spacing w:line="560" w:lineRule="exact"/>
        <w:jc w:val="center"/>
        <w:textAlignment w:val="auto"/>
        <w:rPr>
          <w:rFonts w:ascii="Times New Roman" w:hAnsi="Times New Roman" w:eastAsia="黑体"/>
          <w:color w:val="000000"/>
          <w:sz w:val="32"/>
          <w:szCs w:val="32"/>
        </w:rPr>
      </w:pPr>
    </w:p>
    <w:p w14:paraId="3B0EDB57">
      <w:pPr>
        <w:pStyle w:val="9"/>
        <w:pageBreakBefore w:val="0"/>
        <w:kinsoku/>
        <w:wordWrap/>
        <w:overflowPunct/>
        <w:topLinePunct w:val="0"/>
        <w:bidi w:val="0"/>
        <w:snapToGrid w:val="0"/>
        <w:spacing w:line="560" w:lineRule="exact"/>
        <w:jc w:val="center"/>
        <w:textAlignment w:val="auto"/>
        <w:rPr>
          <w:rFonts w:ascii="Times New Roman" w:hAnsi="Times New Roman" w:eastAsia="黑体"/>
          <w:color w:val="000000"/>
          <w:sz w:val="32"/>
          <w:szCs w:val="32"/>
        </w:rPr>
      </w:pPr>
      <w:r>
        <w:rPr>
          <w:rFonts w:ascii="Times New Roman" w:hAnsi="Times New Roman" w:eastAsia="黑体"/>
          <w:color w:val="000000"/>
          <w:sz w:val="32"/>
          <w:szCs w:val="32"/>
        </w:rPr>
        <w:t>《博望区人民检察院工作报告》有关用语说明</w:t>
      </w:r>
    </w:p>
    <w:p w14:paraId="08343FCB">
      <w:pPr>
        <w:keepNext w:val="0"/>
        <w:keepLines w:val="0"/>
        <w:pageBreakBefore w:val="0"/>
        <w:widowControl w:val="0"/>
        <w:kinsoku/>
        <w:wordWrap/>
        <w:overflowPunct/>
        <w:topLinePunct w:val="0"/>
        <w:autoSpaceDE/>
        <w:autoSpaceDN/>
        <w:bidi w:val="0"/>
        <w:snapToGrid w:val="0"/>
        <w:spacing w:line="560" w:lineRule="exact"/>
        <w:jc w:val="left"/>
        <w:textAlignment w:val="auto"/>
        <w:rPr>
          <w:rFonts w:hint="default" w:ascii="Times New Roman" w:hAnsi="Times New Roman" w:eastAsia="黑体" w:cs="Times New Roman"/>
          <w:bCs/>
          <w:color w:val="000000"/>
          <w:sz w:val="32"/>
          <w:szCs w:val="32"/>
        </w:rPr>
      </w:pPr>
    </w:p>
    <w:p w14:paraId="6466BAC1">
      <w:pPr>
        <w:pStyle w:val="9"/>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color w:val="auto"/>
          <w:spacing w:val="0"/>
          <w:kern w:val="2"/>
          <w:sz w:val="32"/>
          <w:szCs w:val="32"/>
          <w:lang w:val="en-US" w:eastAsia="zh-CN" w:bidi="ar-SA"/>
        </w:rPr>
      </w:pPr>
      <w:r>
        <w:rPr>
          <w:rFonts w:hint="default" w:ascii="Times New Roman" w:hAnsi="Times New Roman" w:eastAsia="黑体" w:cs="Times New Roman"/>
          <w:bCs/>
          <w:color w:val="000000"/>
          <w:sz w:val="32"/>
          <w:szCs w:val="32"/>
        </w:rPr>
        <w:t>1</w:t>
      </w:r>
      <w:r>
        <w:rPr>
          <w:rFonts w:hint="eastAsia" w:ascii="Times New Roman" w:eastAsia="黑体" w:cs="Times New Roman"/>
          <w:bCs/>
          <w:color w:val="000000"/>
          <w:sz w:val="32"/>
          <w:szCs w:val="32"/>
          <w:lang w:eastAsia="zh-CN"/>
        </w:rPr>
        <w:t>.</w:t>
      </w:r>
      <w:r>
        <w:rPr>
          <w:rFonts w:hint="eastAsia" w:ascii="Times New Roman" w:hAnsi="Times New Roman" w:eastAsia="黑体" w:cs="Times New Roman"/>
          <w:bCs/>
          <w:color w:val="000000"/>
          <w:kern w:val="0"/>
          <w:sz w:val="32"/>
          <w:szCs w:val="32"/>
          <w:lang w:val="en-US" w:eastAsia="zh-CN" w:bidi="ar-SA"/>
        </w:rPr>
        <w:t>“检察护企”专项行动：</w:t>
      </w:r>
      <w:r>
        <w:rPr>
          <w:rFonts w:hint="eastAsia" w:ascii="Times New Roman" w:hAnsi="Times New Roman" w:eastAsia="仿宋_GB2312" w:cs="Times New Roman"/>
          <w:b w:val="0"/>
          <w:bCs w:val="0"/>
          <w:color w:val="auto"/>
          <w:spacing w:val="0"/>
          <w:kern w:val="2"/>
          <w:sz w:val="32"/>
          <w:szCs w:val="32"/>
          <w:lang w:val="en-US" w:eastAsia="zh-CN" w:bidi="ar-SA"/>
        </w:rPr>
        <w:t>最高人民检察院</w:t>
      </w:r>
      <w:r>
        <w:rPr>
          <w:rFonts w:hint="eastAsia" w:ascii="Times New Roman" w:eastAsia="仿宋_GB2312" w:cs="Times New Roman"/>
          <w:b w:val="0"/>
          <w:bCs w:val="0"/>
          <w:color w:val="auto"/>
          <w:spacing w:val="0"/>
          <w:kern w:val="2"/>
          <w:sz w:val="32"/>
          <w:szCs w:val="32"/>
          <w:lang w:val="en-US" w:eastAsia="zh-CN" w:bidi="ar-SA"/>
        </w:rPr>
        <w:t>部署</w:t>
      </w:r>
      <w:r>
        <w:rPr>
          <w:rFonts w:hint="eastAsia" w:ascii="Times New Roman" w:hAnsi="Times New Roman" w:eastAsia="仿宋_GB2312" w:cs="Times New Roman"/>
          <w:b w:val="0"/>
          <w:bCs w:val="0"/>
          <w:color w:val="auto"/>
          <w:spacing w:val="0"/>
          <w:kern w:val="2"/>
          <w:sz w:val="32"/>
          <w:szCs w:val="32"/>
          <w:lang w:val="en-US" w:eastAsia="zh-CN" w:bidi="ar-SA"/>
        </w:rPr>
        <w:t>自2024年2月至12月</w:t>
      </w:r>
      <w:r>
        <w:rPr>
          <w:rFonts w:hint="eastAsia" w:ascii="Times New Roman" w:eastAsia="仿宋_GB2312" w:cs="Times New Roman"/>
          <w:b w:val="0"/>
          <w:bCs w:val="0"/>
          <w:color w:val="auto"/>
          <w:spacing w:val="0"/>
          <w:kern w:val="2"/>
          <w:sz w:val="32"/>
          <w:szCs w:val="32"/>
          <w:lang w:val="en-US" w:eastAsia="zh-CN" w:bidi="ar-SA"/>
        </w:rPr>
        <w:t>在全国检察机关开展</w:t>
      </w:r>
      <w:r>
        <w:rPr>
          <w:rFonts w:hint="eastAsia" w:ascii="Times New Roman" w:hAnsi="Times New Roman" w:eastAsia="仿宋_GB2312" w:cs="Times New Roman"/>
          <w:b w:val="0"/>
          <w:bCs w:val="0"/>
          <w:color w:val="auto"/>
          <w:spacing w:val="0"/>
          <w:kern w:val="2"/>
          <w:sz w:val="32"/>
          <w:szCs w:val="32"/>
          <w:lang w:val="en-US" w:eastAsia="zh-CN" w:bidi="ar-SA"/>
        </w:rPr>
        <w:t>“检察护企”专项行动。</w:t>
      </w:r>
      <w:r>
        <w:rPr>
          <w:rFonts w:hint="eastAsia" w:ascii="Times New Roman" w:eastAsia="仿宋_GB2312" w:cs="Times New Roman"/>
          <w:b w:val="0"/>
          <w:bCs w:val="0"/>
          <w:color w:val="auto"/>
          <w:spacing w:val="0"/>
          <w:kern w:val="2"/>
          <w:sz w:val="32"/>
          <w:szCs w:val="32"/>
          <w:lang w:val="en-US" w:eastAsia="zh-CN" w:bidi="ar-SA"/>
        </w:rPr>
        <w:t>“</w:t>
      </w:r>
      <w:r>
        <w:rPr>
          <w:rFonts w:hint="eastAsia" w:ascii="Times New Roman" w:hAnsi="Times New Roman" w:eastAsia="仿宋_GB2312" w:cs="Times New Roman"/>
          <w:b w:val="0"/>
          <w:bCs w:val="0"/>
          <w:color w:val="auto"/>
          <w:spacing w:val="0"/>
          <w:kern w:val="2"/>
          <w:sz w:val="32"/>
          <w:szCs w:val="32"/>
          <w:lang w:val="en-US" w:eastAsia="zh-CN" w:bidi="ar-SA"/>
        </w:rPr>
        <w:t>检察护企”专项行动是检察机关充分发挥检察职能作用，服务党和国家工作大局、助力经济社会高质量发展的重要举措，是践行司法为民宗旨的具体体现，是推动检察工作高质量发展的客观需要。</w:t>
      </w:r>
    </w:p>
    <w:p w14:paraId="70C62726">
      <w:pPr>
        <w:pStyle w:val="9"/>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color w:val="auto"/>
          <w:spacing w:val="0"/>
          <w:kern w:val="2"/>
          <w:sz w:val="32"/>
          <w:szCs w:val="32"/>
          <w:lang w:val="en-US" w:eastAsia="zh-CN" w:bidi="ar-SA"/>
        </w:rPr>
      </w:pPr>
      <w:r>
        <w:rPr>
          <w:rFonts w:hint="eastAsia" w:ascii="Times New Roman" w:eastAsia="黑体" w:cs="Times New Roman"/>
          <w:bCs/>
          <w:color w:val="000000"/>
          <w:kern w:val="0"/>
          <w:sz w:val="32"/>
          <w:szCs w:val="32"/>
          <w:lang w:val="en-US" w:eastAsia="zh-CN" w:bidi="ar-SA"/>
        </w:rPr>
        <w:t>2.</w:t>
      </w:r>
      <w:r>
        <w:rPr>
          <w:rFonts w:hint="eastAsia" w:ascii="Times New Roman" w:hAnsi="Times New Roman" w:eastAsia="黑体" w:cs="Times New Roman"/>
          <w:bCs/>
          <w:color w:val="000000"/>
          <w:kern w:val="0"/>
          <w:sz w:val="32"/>
          <w:szCs w:val="32"/>
          <w:lang w:val="en-US" w:eastAsia="zh-CN" w:bidi="ar-SA"/>
        </w:rPr>
        <w:t>“检护民生”专项行动：</w:t>
      </w:r>
      <w:r>
        <w:rPr>
          <w:rFonts w:hint="eastAsia" w:ascii="Times New Roman" w:hAnsi="Times New Roman" w:eastAsia="仿宋_GB2312" w:cs="Times New Roman"/>
          <w:b w:val="0"/>
          <w:bCs w:val="0"/>
          <w:color w:val="auto"/>
          <w:spacing w:val="0"/>
          <w:kern w:val="2"/>
          <w:sz w:val="32"/>
          <w:szCs w:val="32"/>
          <w:lang w:val="en-US" w:eastAsia="zh-CN" w:bidi="ar-SA"/>
        </w:rPr>
        <w:t>最高人民检察院</w:t>
      </w:r>
      <w:r>
        <w:rPr>
          <w:rFonts w:hint="eastAsia" w:ascii="Times New Roman" w:eastAsia="仿宋_GB2312" w:cs="Times New Roman"/>
          <w:b w:val="0"/>
          <w:bCs w:val="0"/>
          <w:color w:val="auto"/>
          <w:spacing w:val="0"/>
          <w:kern w:val="2"/>
          <w:sz w:val="32"/>
          <w:szCs w:val="32"/>
          <w:lang w:val="en-US" w:eastAsia="zh-CN" w:bidi="ar-SA"/>
        </w:rPr>
        <w:t>部署</w:t>
      </w:r>
      <w:r>
        <w:rPr>
          <w:rFonts w:hint="eastAsia" w:ascii="Times New Roman" w:hAnsi="Times New Roman" w:eastAsia="仿宋_GB2312" w:cs="Times New Roman"/>
          <w:b w:val="0"/>
          <w:bCs w:val="0"/>
          <w:color w:val="auto"/>
          <w:spacing w:val="0"/>
          <w:kern w:val="2"/>
          <w:sz w:val="32"/>
          <w:szCs w:val="32"/>
          <w:lang w:val="en-US" w:eastAsia="zh-CN" w:bidi="ar-SA"/>
        </w:rPr>
        <w:t>自2024年2月至12月在全国检察机关开展“检护民生”专项行动，围绕就业、食药、社保等民生热点以及劳动者、消费者、妇女等重点人群，重点加强民生司法保障。</w:t>
      </w:r>
    </w:p>
    <w:p w14:paraId="5028C40E">
      <w:pPr>
        <w:pStyle w:val="9"/>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Times New Roman" w:hAnsi="Times New Roman" w:eastAsia="仿宋_GB2312" w:cs="Times New Roman"/>
          <w:b w:val="0"/>
          <w:bCs w:val="0"/>
          <w:color w:val="auto"/>
          <w:spacing w:val="0"/>
          <w:kern w:val="2"/>
          <w:sz w:val="32"/>
          <w:szCs w:val="32"/>
          <w:lang w:val="en-US" w:eastAsia="zh-CN" w:bidi="ar-SA"/>
        </w:rPr>
      </w:pPr>
      <w:r>
        <w:rPr>
          <w:rFonts w:hint="eastAsia" w:ascii="Times New Roman" w:eastAsia="黑体" w:cs="Times New Roman"/>
          <w:bCs/>
          <w:color w:val="000000"/>
          <w:kern w:val="0"/>
          <w:sz w:val="32"/>
          <w:szCs w:val="32"/>
          <w:lang w:val="en-US" w:eastAsia="zh-CN" w:bidi="ar-SA"/>
        </w:rPr>
        <w:t>3</w:t>
      </w:r>
      <w:r>
        <w:rPr>
          <w:rFonts w:hint="eastAsia" w:ascii="Times New Roman" w:hAnsi="Times New Roman" w:eastAsia="黑体" w:cs="Times New Roman"/>
          <w:bCs/>
          <w:color w:val="000000"/>
          <w:kern w:val="0"/>
          <w:sz w:val="32"/>
          <w:szCs w:val="32"/>
          <w:lang w:val="en-US" w:eastAsia="zh-CN" w:bidi="ar-SA"/>
        </w:rPr>
        <w:t>.行刑衔接：</w:t>
      </w:r>
      <w:r>
        <w:rPr>
          <w:rFonts w:hint="eastAsia" w:ascii="Times New Roman" w:hAnsi="Times New Roman" w:eastAsia="仿宋_GB2312" w:cs="Times New Roman"/>
          <w:b w:val="0"/>
          <w:bCs w:val="0"/>
          <w:color w:val="auto"/>
          <w:spacing w:val="0"/>
          <w:kern w:val="2"/>
          <w:sz w:val="32"/>
          <w:szCs w:val="32"/>
          <w:lang w:val="en-US" w:eastAsia="zh-CN" w:bidi="ar-SA"/>
        </w:rPr>
        <w:t>也称“两法衔接”，包括行政执法机关向司法机关移送涉嫌犯罪案件的正向衔接</w:t>
      </w:r>
      <w:r>
        <w:rPr>
          <w:rFonts w:hint="eastAsia" w:ascii="Times New Roman" w:eastAsia="仿宋_GB2312" w:cs="Times New Roman"/>
          <w:b w:val="0"/>
          <w:bCs w:val="0"/>
          <w:color w:val="auto"/>
          <w:spacing w:val="0"/>
          <w:kern w:val="2"/>
          <w:sz w:val="32"/>
          <w:szCs w:val="32"/>
          <w:lang w:val="en-US" w:eastAsia="zh-CN" w:bidi="ar-SA"/>
        </w:rPr>
        <w:t>和</w:t>
      </w:r>
      <w:r>
        <w:rPr>
          <w:rFonts w:hint="eastAsia" w:ascii="Times New Roman" w:hAnsi="Times New Roman" w:eastAsia="仿宋_GB2312" w:cs="Times New Roman"/>
          <w:b w:val="0"/>
          <w:bCs w:val="0"/>
          <w:color w:val="auto"/>
          <w:spacing w:val="0"/>
          <w:kern w:val="2"/>
          <w:sz w:val="32"/>
          <w:szCs w:val="32"/>
          <w:lang w:val="en-US" w:eastAsia="zh-CN" w:bidi="ar-SA"/>
        </w:rPr>
        <w:t>司法机关向行政执法机关移送行政处罚案件的反向衔接，是检察机关加强与行政执法机关衔接配合，共同促进</w:t>
      </w:r>
      <w:r>
        <w:rPr>
          <w:rFonts w:hint="eastAsia" w:ascii="Times New Roman" w:eastAsia="仿宋_GB2312" w:cs="Times New Roman"/>
          <w:b w:val="0"/>
          <w:bCs w:val="0"/>
          <w:color w:val="auto"/>
          <w:spacing w:val="0"/>
          <w:kern w:val="2"/>
          <w:sz w:val="32"/>
          <w:szCs w:val="32"/>
          <w:lang w:val="en-US" w:eastAsia="zh-CN" w:bidi="ar-SA"/>
        </w:rPr>
        <w:t>严格执法</w:t>
      </w:r>
      <w:r>
        <w:rPr>
          <w:rFonts w:hint="eastAsia" w:ascii="Times New Roman" w:hAnsi="Times New Roman" w:eastAsia="仿宋_GB2312" w:cs="Times New Roman"/>
          <w:b w:val="0"/>
          <w:bCs w:val="0"/>
          <w:color w:val="auto"/>
          <w:spacing w:val="0"/>
          <w:kern w:val="2"/>
          <w:sz w:val="32"/>
          <w:szCs w:val="32"/>
          <w:lang w:val="en-US" w:eastAsia="zh-CN" w:bidi="ar-SA"/>
        </w:rPr>
        <w:t>、公正司法，共同推进法治中国建设的重要内容。</w:t>
      </w:r>
    </w:p>
    <w:p w14:paraId="06768A0A">
      <w:pPr>
        <w:keepNext w:val="0"/>
        <w:keepLines w:val="0"/>
        <w:pageBreakBefore w:val="0"/>
        <w:widowControl w:val="0"/>
        <w:kinsoku/>
        <w:wordWrap/>
        <w:overflowPunct/>
        <w:topLinePunct w:val="0"/>
        <w:autoSpaceDE/>
        <w:autoSpaceDN/>
        <w:bidi w:val="0"/>
        <w:snapToGrid w:val="0"/>
        <w:spacing w:line="560" w:lineRule="exact"/>
        <w:ind w:firstLine="640" w:firstLineChars="200"/>
        <w:jc w:val="left"/>
        <w:textAlignment w:val="auto"/>
        <w:rPr>
          <w:rFonts w:hint="default" w:ascii="Times New Roman" w:hAnsi="Times New Roman" w:eastAsia="仿宋_GB2312" w:cs="Times New Roman"/>
          <w:b w:val="0"/>
          <w:bCs w:val="0"/>
          <w:color w:val="auto"/>
          <w:spacing w:val="0"/>
          <w:kern w:val="2"/>
          <w:sz w:val="32"/>
          <w:szCs w:val="32"/>
          <w:lang w:val="en-US" w:eastAsia="zh-CN" w:bidi="ar-SA"/>
        </w:rPr>
      </w:pPr>
      <w:r>
        <w:rPr>
          <w:rFonts w:hint="eastAsia" w:ascii="Times New Roman" w:hAnsi="Times New Roman" w:eastAsia="黑体" w:cs="Times New Roman"/>
          <w:bCs/>
          <w:color w:val="000000"/>
          <w:kern w:val="0"/>
          <w:sz w:val="32"/>
          <w:szCs w:val="32"/>
          <w:lang w:val="en-US" w:eastAsia="zh-CN" w:bidi="ar-SA"/>
        </w:rPr>
        <w:t>4.三个规定：</w:t>
      </w:r>
      <w:r>
        <w:rPr>
          <w:rFonts w:hint="eastAsia" w:ascii="Times New Roman" w:hAnsi="Times New Roman" w:eastAsia="仿宋_GB2312" w:cs="Times New Roman"/>
          <w:b w:val="0"/>
          <w:bCs w:val="0"/>
          <w:color w:val="auto"/>
          <w:spacing w:val="0"/>
          <w:kern w:val="2"/>
          <w:sz w:val="32"/>
          <w:szCs w:val="32"/>
          <w:lang w:val="en-US" w:eastAsia="zh-CN" w:bidi="ar-SA"/>
        </w:rPr>
        <w:t>指《领导干部干预司法活动、插手具体案件处理的记录、通报和责任追究规定》、《司法机关内部人员过问案件的记录和责任追究规定》、《关于进一步规范司法人员与当事人、律师、特殊关系人、中介组织接触交往行为的若干规定》三份规范性文件，旨在防止领导干部和司法机关内部人员干预司法活动、插手具体案件处理，确保司法机关依法独立公正行使职权。</w:t>
      </w:r>
    </w:p>
    <w:p w14:paraId="7E9F2FC3">
      <w:pPr>
        <w:pStyle w:val="9"/>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eastAsia="黑体" w:cs="Times New Roman"/>
          <w:bCs/>
          <w:color w:val="000000"/>
          <w:kern w:val="0"/>
          <w:sz w:val="32"/>
          <w:szCs w:val="32"/>
          <w:lang w:val="en-US" w:eastAsia="zh-CN" w:bidi="ar-SA"/>
        </w:rPr>
        <w:t>5</w:t>
      </w:r>
      <w:r>
        <w:rPr>
          <w:rFonts w:hint="eastAsia" w:ascii="Times New Roman" w:hAnsi="Times New Roman" w:eastAsia="黑体" w:cs="Times New Roman"/>
          <w:bCs/>
          <w:color w:val="000000"/>
          <w:kern w:val="0"/>
          <w:sz w:val="32"/>
          <w:szCs w:val="32"/>
          <w:lang w:val="en-US" w:eastAsia="zh-CN" w:bidi="ar-SA"/>
        </w:rPr>
        <w:t>.支持起诉：</w:t>
      </w:r>
      <w:r>
        <w:rPr>
          <w:rFonts w:hint="eastAsia" w:ascii="Times New Roman" w:hAnsi="Times New Roman" w:eastAsia="仿宋_GB2312"/>
          <w:sz w:val="32"/>
          <w:szCs w:val="32"/>
          <w:lang w:val="en-US" w:eastAsia="zh-CN"/>
        </w:rPr>
        <w:t>指检察机关对国有资产流失、环境污染、侵害弱势群体合法权益等案件，依照民事诉讼法有关规定，支持受害单位或个人向人民法院起诉。</w:t>
      </w:r>
    </w:p>
    <w:p w14:paraId="0D73BD44">
      <w:pPr>
        <w:pStyle w:val="9"/>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Times New Roman" w:eastAsia="仿宋_GB2312"/>
          <w:sz w:val="32"/>
          <w:szCs w:val="32"/>
          <w:lang w:val="en-US" w:eastAsia="zh-CN"/>
        </w:rPr>
      </w:pPr>
      <w:r>
        <w:rPr>
          <w:rFonts w:hint="eastAsia" w:ascii="Times New Roman" w:hAnsi="Times New Roman" w:eastAsia="黑体" w:cs="Times New Roman"/>
          <w:bCs/>
          <w:color w:val="000000"/>
          <w:kern w:val="0"/>
          <w:sz w:val="32"/>
          <w:szCs w:val="32"/>
          <w:lang w:val="en-US" w:eastAsia="zh-CN" w:bidi="ar-SA"/>
        </w:rPr>
        <w:t>6.三个善于：</w:t>
      </w:r>
      <w:r>
        <w:rPr>
          <w:rFonts w:hint="eastAsia" w:ascii="Times New Roman" w:eastAsia="仿宋_GB2312"/>
          <w:sz w:val="32"/>
          <w:szCs w:val="32"/>
          <w:lang w:val="en-US" w:eastAsia="zh-CN"/>
        </w:rPr>
        <w:t>指善于从纷繁复杂的法律事实中准确把握实质法律关系，善于从具体法律条文中深刻领悟法治精神，善于在法理情的有机统一中实现公平正义。“三个善于”为检察机关高质效办案提供了重要的思维方式和工作方法。</w:t>
      </w:r>
    </w:p>
    <w:p w14:paraId="6437BBCC">
      <w:pPr>
        <w:pStyle w:val="9"/>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eastAsia="宋体"/>
          <w:lang w:eastAsia="zh-CN"/>
        </w:rPr>
      </w:pPr>
      <w:r>
        <w:rPr>
          <w:rFonts w:hint="eastAsia" w:ascii="Times New Roman" w:hAnsi="Times New Roman" w:eastAsia="黑体" w:cs="Times New Roman"/>
          <w:bCs/>
          <w:color w:val="000000"/>
          <w:kern w:val="0"/>
          <w:sz w:val="32"/>
          <w:szCs w:val="32"/>
          <w:lang w:val="en-US" w:eastAsia="zh-CN" w:bidi="ar-SA"/>
        </w:rPr>
        <w:t>7.三个结构比</w:t>
      </w:r>
      <w:r>
        <w:rPr>
          <w:rFonts w:hint="eastAsia" w:ascii="Times New Roman" w:eastAsia="仿宋_GB2312"/>
          <w:sz w:val="32"/>
          <w:szCs w:val="32"/>
          <w:lang w:val="en-US" w:eastAsia="zh-CN"/>
        </w:rPr>
        <w:t>：即“四大检察”的履职结构比，依程序办案与依职权监督的案件结构比，依程序移送、依申请受案与主动发现的案源结构比。三个结构比为检察机关推动“四大检察”全面协调充分发展提供了可量化的评判依据和指引，意义重大深远。</w:t>
      </w:r>
    </w:p>
    <w:p w14:paraId="3F0A12B7">
      <w:pPr>
        <w:rPr>
          <w:rFonts w:hint="default" w:ascii="Times New Roman" w:hAnsi="Times New Roman" w:cs="Times New Roman"/>
        </w:rPr>
      </w:pPr>
    </w:p>
    <w:p w14:paraId="5CAC3178"/>
    <w:sectPr>
      <w:footerReference r:id="rId3" w:type="default"/>
      <w:pgSz w:w="11906" w:h="16838"/>
      <w:pgMar w:top="1440" w:right="1587" w:bottom="1440"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536EB92-E959-4C36-83B8-9E41AF3EC0D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111E1CD-286E-44AA-9FAC-C267B04EB643}"/>
  </w:font>
  <w:font w:name="方正小标宋简体">
    <w:panose1 w:val="02000000000000000000"/>
    <w:charset w:val="86"/>
    <w:family w:val="script"/>
    <w:pitch w:val="default"/>
    <w:sig w:usb0="00000001" w:usb1="08000000" w:usb2="00000000" w:usb3="00000000" w:csb0="00040000" w:csb1="00000000"/>
    <w:embedRegular r:id="rId3" w:fontKey="{D839CBEB-4D74-4E35-BC86-B8A598AA50F9}"/>
  </w:font>
  <w:font w:name="仿宋_GB2312">
    <w:altName w:val="仿宋"/>
    <w:panose1 w:val="02010609030101010101"/>
    <w:charset w:val="86"/>
    <w:family w:val="modern"/>
    <w:pitch w:val="default"/>
    <w:sig w:usb0="00000000" w:usb1="00000000" w:usb2="00000000" w:usb3="00000000" w:csb0="00040000" w:csb1="00000000"/>
    <w:embedRegular r:id="rId4" w:fontKey="{F2C9ADCE-4216-4E75-B01E-0C5993813FC8}"/>
  </w:font>
  <w:font w:name="仿宋">
    <w:panose1 w:val="02010609060101010101"/>
    <w:charset w:val="86"/>
    <w:family w:val="auto"/>
    <w:pitch w:val="default"/>
    <w:sig w:usb0="800002BF" w:usb1="38CF7CFA" w:usb2="00000016" w:usb3="00000000" w:csb0="00040001" w:csb1="00000000"/>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9C8A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6BAA0E">
                          <w:pPr>
                            <w:pStyle w:val="4"/>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96BAA0E">
                    <w:pPr>
                      <w:pStyle w:val="4"/>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652BAC"/>
    <w:rsid w:val="011569CC"/>
    <w:rsid w:val="03022757"/>
    <w:rsid w:val="03265180"/>
    <w:rsid w:val="092A0BBE"/>
    <w:rsid w:val="0A586566"/>
    <w:rsid w:val="0BB7550F"/>
    <w:rsid w:val="0C4B715D"/>
    <w:rsid w:val="0CF85DDF"/>
    <w:rsid w:val="0DF01F4D"/>
    <w:rsid w:val="0E283F2B"/>
    <w:rsid w:val="14BE790E"/>
    <w:rsid w:val="15DA2069"/>
    <w:rsid w:val="200F54C2"/>
    <w:rsid w:val="23922691"/>
    <w:rsid w:val="25861D82"/>
    <w:rsid w:val="26B60ADD"/>
    <w:rsid w:val="27E56B08"/>
    <w:rsid w:val="2B54647E"/>
    <w:rsid w:val="2CE83322"/>
    <w:rsid w:val="2E652BAC"/>
    <w:rsid w:val="33C85C5B"/>
    <w:rsid w:val="39AC56D7"/>
    <w:rsid w:val="3F26329D"/>
    <w:rsid w:val="3FF61D3A"/>
    <w:rsid w:val="44E7035F"/>
    <w:rsid w:val="46BA1434"/>
    <w:rsid w:val="472E0158"/>
    <w:rsid w:val="474E6020"/>
    <w:rsid w:val="48E63A65"/>
    <w:rsid w:val="4AC42881"/>
    <w:rsid w:val="4C545E87"/>
    <w:rsid w:val="4FF175A8"/>
    <w:rsid w:val="52741030"/>
    <w:rsid w:val="53E93358"/>
    <w:rsid w:val="58797412"/>
    <w:rsid w:val="5B4041A6"/>
    <w:rsid w:val="5EBC7D39"/>
    <w:rsid w:val="60CF16E3"/>
    <w:rsid w:val="64A55079"/>
    <w:rsid w:val="665B6338"/>
    <w:rsid w:val="6CD6491F"/>
    <w:rsid w:val="725D6F93"/>
    <w:rsid w:val="73726A6F"/>
    <w:rsid w:val="764673B5"/>
    <w:rsid w:val="77274E6B"/>
    <w:rsid w:val="784B5AE0"/>
    <w:rsid w:val="79DA35C0"/>
    <w:rsid w:val="7C776EA4"/>
    <w:rsid w:val="7D472D1A"/>
    <w:rsid w:val="7D781125"/>
    <w:rsid w:val="7D910439"/>
    <w:rsid w:val="7E89135B"/>
    <w:rsid w:val="7FCC5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qFormat/>
    <w:uiPriority w:val="0"/>
    <w:pPr>
      <w:keepNext/>
      <w:keepLines/>
      <w:widowControl w:val="0"/>
      <w:spacing w:before="340" w:beforeLines="0" w:beforeAutospacing="0" w:after="330" w:afterLines="0" w:afterAutospacing="0" w:line="576" w:lineRule="auto"/>
      <w:jc w:val="both"/>
      <w:outlineLvl w:val="0"/>
    </w:pPr>
    <w:rPr>
      <w:rFonts w:ascii="Calibri" w:hAnsi="Calibri" w:eastAsia="宋体" w:cs="Times New Roman"/>
      <w:b/>
      <w:kern w:val="44"/>
      <w:sz w:val="44"/>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qFormat/>
    <w:uiPriority w:val="0"/>
    <w:pPr>
      <w:widowControl w:val="0"/>
      <w:ind w:firstLine="630"/>
      <w:jc w:val="both"/>
    </w:pPr>
    <w:rPr>
      <w:rFonts w:ascii="Calibri" w:hAnsi="Calibri" w:eastAsia="宋体" w:cs="Times New Roman"/>
      <w:kern w:val="2"/>
      <w:sz w:val="21"/>
      <w:szCs w:val="24"/>
      <w:lang w:val="en-US" w:eastAsia="zh-CN" w:bidi="ar-SA"/>
    </w:rPr>
  </w:style>
  <w:style w:type="paragraph" w:styleId="4">
    <w:name w:val="footer"/>
    <w:qFormat/>
    <w:uiPriority w:val="99"/>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 w:type="paragraph" w:styleId="5">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paragraph" w:styleId="6">
    <w:name w:val="Body Text First Indent 2"/>
    <w:next w:val="1"/>
    <w:qFormat/>
    <w:uiPriority w:val="0"/>
    <w:pPr>
      <w:widowControl w:val="0"/>
      <w:spacing w:after="120" w:afterLines="0"/>
      <w:ind w:left="200" w:leftChars="200" w:firstLine="420" w:firstLineChars="200"/>
      <w:jc w:val="both"/>
    </w:pPr>
    <w:rPr>
      <w:rFonts w:ascii="Times New Roman" w:hAnsi="Calibri" w:eastAsia="宋体" w:cs="Times New Roman"/>
      <w:kern w:val="2"/>
      <w:sz w:val="21"/>
      <w:szCs w:val="24"/>
      <w:lang w:val="en-US" w:eastAsia="zh-CN" w:bidi="ar-SA"/>
    </w:rPr>
  </w:style>
  <w:style w:type="paragraph" w:customStyle="1" w:styleId="9">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市直单位</Company>
  <Pages>12</Pages>
  <Words>5374</Words>
  <Characters>5469</Characters>
  <Lines>0</Lines>
  <Paragraphs>0</Paragraphs>
  <TotalTime>1165</TotalTime>
  <ScaleCrop>false</ScaleCrop>
  <LinksUpToDate>false</LinksUpToDate>
  <CharactersWithSpaces>5474</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2024-12-18T07:51:00Z</dcterms:created>
  <dc:creator>倩大大</dc:creator>
  <cp:lastModifiedBy>1538911673@qq.com</cp:lastModifiedBy>
  <dcterms:modified xsi:type="dcterms:W3CDTF">2026-07-09T05:17:11Z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1594AAE1D8AC4A38AE052752B596A086_13</vt:lpwstr>
  </property>
  <property fmtid="{D5CDD505-2E9C-101B-9397-08002B2CF9AE}" pid="4" name="KSOTemplateDocerSaveRecord">
    <vt:lpwstr>eyJoZGlkIjoiNWM3ZGRjZjAxNjllNjZiYjQyOTgxODMyMmY3YTI4OGUiLCJ1c2VySWQiOiIxNjU4Nzk5NjAifQ==</vt:lpwstr>
  </property>
</Properties>
</file>